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B5FB" w14:textId="6370548D" w:rsidR="000B4F12" w:rsidRPr="00524998" w:rsidRDefault="000B4F12" w:rsidP="00DD1AC4">
      <w:pPr>
        <w:pStyle w:val="Heading1"/>
        <w:rPr>
          <w:sz w:val="22"/>
          <w:szCs w:val="22"/>
        </w:rPr>
      </w:pPr>
      <w:r w:rsidRPr="00524998">
        <w:rPr>
          <w:sz w:val="22"/>
          <w:szCs w:val="22"/>
        </w:rPr>
        <w:t xml:space="preserve">Supervision </w:t>
      </w:r>
      <w:r w:rsidR="00524998" w:rsidRPr="00524998">
        <w:rPr>
          <w:sz w:val="22"/>
          <w:szCs w:val="22"/>
        </w:rPr>
        <w:t>and Support: A Guide for Working with Mature Postgraduate Researchers (PGRs)</w:t>
      </w:r>
    </w:p>
    <w:p w14:paraId="18233F8D" w14:textId="796BF96A" w:rsidR="00DD1AC4" w:rsidRPr="00524998" w:rsidRDefault="000C642C" w:rsidP="00524998">
      <w:pPr>
        <w:pStyle w:val="Heading2"/>
        <w:rPr>
          <w:sz w:val="22"/>
          <w:szCs w:val="22"/>
        </w:rPr>
      </w:pPr>
      <w:r w:rsidRPr="00524998">
        <w:rPr>
          <w:sz w:val="22"/>
          <w:szCs w:val="22"/>
        </w:rPr>
        <w:t>Purpose</w:t>
      </w:r>
    </w:p>
    <w:p w14:paraId="1981AD4B" w14:textId="37C66D39" w:rsidR="003C73D8" w:rsidRPr="00524998" w:rsidRDefault="000C642C" w:rsidP="001F50A2">
      <w:pPr>
        <w:rPr>
          <w:rFonts w:ascii="Inter" w:hAnsi="Inter" w:cs="Calibri"/>
          <w:sz w:val="22"/>
          <w:szCs w:val="22"/>
        </w:rPr>
      </w:pPr>
      <w:r w:rsidRPr="00524998">
        <w:rPr>
          <w:rFonts w:ascii="Inter" w:hAnsi="Inter" w:cs="Calibri"/>
          <w:sz w:val="22"/>
          <w:szCs w:val="22"/>
        </w:rPr>
        <w:t>Mature PGRs</w:t>
      </w:r>
      <w:r w:rsidR="00362F6C" w:rsidRPr="00524998">
        <w:rPr>
          <w:rFonts w:ascii="Inter" w:hAnsi="Inter" w:cs="Calibri"/>
          <w:sz w:val="22"/>
          <w:szCs w:val="22"/>
        </w:rPr>
        <w:t xml:space="preserve"> </w:t>
      </w:r>
      <w:r w:rsidRPr="00524998">
        <w:rPr>
          <w:rFonts w:ascii="Inter" w:hAnsi="Inter" w:cs="Calibri"/>
          <w:sz w:val="22"/>
          <w:szCs w:val="22"/>
        </w:rPr>
        <w:t>represent a skilled group of students who bring valuable experience and diverse knowledge</w:t>
      </w:r>
      <w:r w:rsidR="00900BE6" w:rsidRPr="00524998">
        <w:rPr>
          <w:rFonts w:ascii="Inter" w:hAnsi="Inter" w:cs="Calibri"/>
          <w:sz w:val="22"/>
          <w:szCs w:val="22"/>
        </w:rPr>
        <w:t xml:space="preserve"> to their studies</w:t>
      </w:r>
      <w:r w:rsidR="00225AEE" w:rsidRPr="00524998">
        <w:rPr>
          <w:rFonts w:ascii="Inter" w:hAnsi="Inter" w:cs="Calibri"/>
          <w:sz w:val="22"/>
          <w:szCs w:val="22"/>
        </w:rPr>
        <w:t>,</w:t>
      </w:r>
      <w:r w:rsidR="445718FD" w:rsidRPr="00524998">
        <w:rPr>
          <w:rFonts w:ascii="Inter" w:hAnsi="Inter" w:cs="Calibri"/>
          <w:sz w:val="22"/>
          <w:szCs w:val="22"/>
        </w:rPr>
        <w:t xml:space="preserve"> b</w:t>
      </w:r>
      <w:r w:rsidR="00DE3F14" w:rsidRPr="00524998">
        <w:rPr>
          <w:rFonts w:ascii="Inter" w:hAnsi="Inter" w:cs="Calibri"/>
          <w:sz w:val="22"/>
          <w:szCs w:val="22"/>
        </w:rPr>
        <w:t>ut returning to education</w:t>
      </w:r>
      <w:r w:rsidR="00C20120" w:rsidRPr="00524998">
        <w:rPr>
          <w:rFonts w:ascii="Inter" w:hAnsi="Inter" w:cs="Calibri"/>
          <w:sz w:val="22"/>
          <w:szCs w:val="22"/>
        </w:rPr>
        <w:t xml:space="preserve"> after a </w:t>
      </w:r>
      <w:r w:rsidR="00B416AC" w:rsidRPr="00524998">
        <w:rPr>
          <w:rFonts w:ascii="Inter" w:hAnsi="Inter" w:cs="Calibri"/>
          <w:sz w:val="22"/>
          <w:szCs w:val="22"/>
        </w:rPr>
        <w:t>significant period</w:t>
      </w:r>
      <w:r w:rsidR="00DE3F14" w:rsidRPr="00524998">
        <w:rPr>
          <w:rFonts w:ascii="Inter" w:hAnsi="Inter" w:cs="Calibri"/>
          <w:sz w:val="22"/>
          <w:szCs w:val="22"/>
        </w:rPr>
        <w:t xml:space="preserve"> can bring </w:t>
      </w:r>
      <w:r w:rsidR="4BDFA27A" w:rsidRPr="00524998">
        <w:rPr>
          <w:rFonts w:ascii="Inter" w:hAnsi="Inter" w:cs="Calibri"/>
          <w:sz w:val="22"/>
          <w:szCs w:val="22"/>
        </w:rPr>
        <w:t>challenges</w:t>
      </w:r>
      <w:r w:rsidR="00DE3F14" w:rsidRPr="00524998">
        <w:rPr>
          <w:rFonts w:ascii="Inter" w:hAnsi="Inter" w:cs="Calibri"/>
          <w:sz w:val="22"/>
          <w:szCs w:val="22"/>
        </w:rPr>
        <w:t>.</w:t>
      </w:r>
      <w:r w:rsidR="005C1268" w:rsidRPr="00524998">
        <w:rPr>
          <w:rFonts w:ascii="Inter" w:hAnsi="Inter" w:cs="Calibri"/>
          <w:sz w:val="22"/>
          <w:szCs w:val="22"/>
        </w:rPr>
        <w:t xml:space="preserve"> </w:t>
      </w:r>
      <w:r w:rsidR="00C836A9" w:rsidRPr="00524998">
        <w:rPr>
          <w:rFonts w:ascii="Inter" w:hAnsi="Inter" w:cs="Calibri"/>
          <w:sz w:val="22"/>
          <w:szCs w:val="22"/>
        </w:rPr>
        <w:t>This guidance, co-produced with mature PGRs</w:t>
      </w:r>
      <w:r w:rsidR="002A1AE9" w:rsidRPr="00524998">
        <w:rPr>
          <w:rFonts w:ascii="Inter" w:hAnsi="Inter" w:cs="Calibri"/>
          <w:sz w:val="22"/>
          <w:szCs w:val="22"/>
        </w:rPr>
        <w:t xml:space="preserve"> and supervisors</w:t>
      </w:r>
      <w:r w:rsidR="00C836A9" w:rsidRPr="00524998">
        <w:rPr>
          <w:rFonts w:ascii="Inter" w:hAnsi="Inter" w:cs="Calibri"/>
          <w:sz w:val="22"/>
          <w:szCs w:val="22"/>
        </w:rPr>
        <w:t xml:space="preserve">, </w:t>
      </w:r>
      <w:r w:rsidR="006B3303" w:rsidRPr="00524998">
        <w:rPr>
          <w:rFonts w:ascii="Inter" w:hAnsi="Inter" w:cs="Calibri"/>
          <w:sz w:val="22"/>
          <w:szCs w:val="22"/>
        </w:rPr>
        <w:t xml:space="preserve">reflects on their </w:t>
      </w:r>
      <w:r w:rsidR="0505D193" w:rsidRPr="00524998">
        <w:rPr>
          <w:rFonts w:ascii="Inter" w:hAnsi="Inter" w:cs="Calibri"/>
          <w:sz w:val="22"/>
          <w:szCs w:val="22"/>
        </w:rPr>
        <w:t>experiences</w:t>
      </w:r>
      <w:r w:rsidR="006B3303" w:rsidRPr="00524998">
        <w:rPr>
          <w:rFonts w:ascii="Inter" w:hAnsi="Inter" w:cs="Calibri"/>
          <w:sz w:val="22"/>
          <w:szCs w:val="22"/>
        </w:rPr>
        <w:t xml:space="preserve"> </w:t>
      </w:r>
      <w:r w:rsidR="00C836A9" w:rsidRPr="00524998">
        <w:rPr>
          <w:rFonts w:ascii="Inter" w:hAnsi="Inter" w:cs="Calibri"/>
          <w:sz w:val="22"/>
          <w:szCs w:val="22"/>
        </w:rPr>
        <w:t xml:space="preserve">and provides practical tips to help inform supervisors and enhance PGR supervisory relationships. </w:t>
      </w:r>
    </w:p>
    <w:p w14:paraId="20F2EA91" w14:textId="77777777" w:rsidR="003C73D8" w:rsidRPr="00524998" w:rsidRDefault="4F4DFF37" w:rsidP="00524998">
      <w:pPr>
        <w:pStyle w:val="Heading2"/>
        <w:rPr>
          <w:sz w:val="22"/>
          <w:szCs w:val="22"/>
        </w:rPr>
      </w:pPr>
      <w:r w:rsidRPr="00524998">
        <w:rPr>
          <w:sz w:val="22"/>
          <w:szCs w:val="22"/>
        </w:rPr>
        <w:t xml:space="preserve">Who classifies as a mature PGR? </w:t>
      </w:r>
    </w:p>
    <w:p w14:paraId="5DCDDBA6" w14:textId="240B84DA" w:rsidR="003C73D8" w:rsidRPr="00524998" w:rsidRDefault="002965D0" w:rsidP="001F50A2">
      <w:pPr>
        <w:rPr>
          <w:rFonts w:ascii="Inter" w:hAnsi="Inter" w:cs="Calibri"/>
          <w:sz w:val="22"/>
          <w:szCs w:val="22"/>
        </w:rPr>
      </w:pPr>
      <w:r w:rsidRPr="00524998">
        <w:rPr>
          <w:rFonts w:ascii="Inter" w:hAnsi="Inter" w:cs="Calibri"/>
          <w:sz w:val="22"/>
          <w:szCs w:val="22"/>
        </w:rPr>
        <w:t>The Office for Students and</w:t>
      </w:r>
      <w:r w:rsidRPr="00524998">
        <w:rPr>
          <w:rFonts w:ascii="Inter" w:hAnsi="Inter" w:cs="Calibri"/>
          <w:b/>
          <w:bCs/>
          <w:sz w:val="22"/>
          <w:szCs w:val="22"/>
        </w:rPr>
        <w:t xml:space="preserve"> </w:t>
      </w:r>
      <w:r w:rsidR="00AF23AF" w:rsidRPr="00524998">
        <w:rPr>
          <w:rFonts w:ascii="Inter" w:hAnsi="Inter" w:cs="Calibri"/>
          <w:sz w:val="22"/>
          <w:szCs w:val="22"/>
        </w:rPr>
        <w:t>Higher Education Statistics Agency</w:t>
      </w:r>
      <w:r w:rsidR="0077427B" w:rsidRPr="00524998">
        <w:rPr>
          <w:rFonts w:ascii="Inter" w:hAnsi="Inter" w:cs="Calibri"/>
          <w:sz w:val="22"/>
          <w:szCs w:val="22"/>
        </w:rPr>
        <w:t xml:space="preserve"> currently</w:t>
      </w:r>
      <w:r w:rsidR="00F700C1" w:rsidRPr="00524998">
        <w:rPr>
          <w:rFonts w:ascii="Inter" w:hAnsi="Inter" w:cs="Calibri"/>
          <w:sz w:val="22"/>
          <w:szCs w:val="22"/>
        </w:rPr>
        <w:t xml:space="preserve"> define mature as 25+ at the beginning of a postgraduate course</w:t>
      </w:r>
      <w:r w:rsidR="00D66B50" w:rsidRPr="00524998">
        <w:rPr>
          <w:rFonts w:ascii="Inter" w:hAnsi="Inter" w:cs="Calibri"/>
          <w:sz w:val="22"/>
          <w:szCs w:val="22"/>
        </w:rPr>
        <w:t xml:space="preserve">. However, this categorisation </w:t>
      </w:r>
      <w:r w:rsidR="003C6787" w:rsidRPr="00524998">
        <w:rPr>
          <w:rFonts w:ascii="Inter" w:hAnsi="Inter" w:cs="Calibri"/>
          <w:sz w:val="22"/>
          <w:szCs w:val="22"/>
        </w:rPr>
        <w:t>encapsulat</w:t>
      </w:r>
      <w:r w:rsidR="38A6726F" w:rsidRPr="00524998">
        <w:rPr>
          <w:rFonts w:ascii="Inter" w:hAnsi="Inter" w:cs="Calibri"/>
          <w:sz w:val="22"/>
          <w:szCs w:val="22"/>
        </w:rPr>
        <w:t>es</w:t>
      </w:r>
      <w:r w:rsidR="003C6787" w:rsidRPr="00524998">
        <w:rPr>
          <w:rFonts w:ascii="Inter" w:hAnsi="Inter" w:cs="Calibri"/>
          <w:sz w:val="22"/>
          <w:szCs w:val="22"/>
        </w:rPr>
        <w:t xml:space="preserve"> </w:t>
      </w:r>
      <w:r w:rsidR="00E324E2" w:rsidRPr="00524998">
        <w:rPr>
          <w:rFonts w:ascii="Inter" w:hAnsi="Inter" w:cs="Calibri"/>
          <w:sz w:val="22"/>
          <w:szCs w:val="22"/>
        </w:rPr>
        <w:t xml:space="preserve">a significant </w:t>
      </w:r>
      <w:r w:rsidR="00EE4EE7" w:rsidRPr="00524998">
        <w:rPr>
          <w:rFonts w:ascii="Inter" w:hAnsi="Inter" w:cs="Calibri"/>
          <w:sz w:val="22"/>
          <w:szCs w:val="22"/>
        </w:rPr>
        <w:t>proportion</w:t>
      </w:r>
      <w:r w:rsidR="00E324E2" w:rsidRPr="00524998">
        <w:rPr>
          <w:rFonts w:ascii="Inter" w:hAnsi="Inter" w:cs="Calibri"/>
          <w:sz w:val="22"/>
          <w:szCs w:val="22"/>
        </w:rPr>
        <w:t xml:space="preserve"> of the </w:t>
      </w:r>
      <w:r w:rsidR="00F31DCA" w:rsidRPr="00524998">
        <w:rPr>
          <w:rFonts w:ascii="Inter" w:hAnsi="Inter" w:cs="Calibri"/>
          <w:sz w:val="22"/>
          <w:szCs w:val="22"/>
        </w:rPr>
        <w:t xml:space="preserve">overall </w:t>
      </w:r>
      <w:r w:rsidR="00E324E2" w:rsidRPr="00524998">
        <w:rPr>
          <w:rFonts w:ascii="Inter" w:hAnsi="Inter" w:cs="Calibri"/>
          <w:sz w:val="22"/>
          <w:szCs w:val="22"/>
        </w:rPr>
        <w:t>PGR population</w:t>
      </w:r>
      <w:r w:rsidR="00DF6F13" w:rsidRPr="00524998">
        <w:rPr>
          <w:rFonts w:ascii="Inter" w:hAnsi="Inter" w:cs="Calibri"/>
          <w:sz w:val="22"/>
          <w:szCs w:val="22"/>
        </w:rPr>
        <w:t>.</w:t>
      </w:r>
      <w:r w:rsidR="00E324E2" w:rsidRPr="00524998">
        <w:rPr>
          <w:rFonts w:ascii="Inter" w:hAnsi="Inter" w:cs="Calibri"/>
          <w:sz w:val="22"/>
          <w:szCs w:val="22"/>
        </w:rPr>
        <w:t xml:space="preserve"> At the University of Bristol, mature PGRs</w:t>
      </w:r>
      <w:r w:rsidR="0077427B" w:rsidRPr="00524998">
        <w:rPr>
          <w:rFonts w:ascii="Inter" w:hAnsi="Inter" w:cs="Calibri"/>
          <w:sz w:val="22"/>
          <w:szCs w:val="22"/>
        </w:rPr>
        <w:t xml:space="preserve"> </w:t>
      </w:r>
      <w:r w:rsidR="00E324E2" w:rsidRPr="00524998">
        <w:rPr>
          <w:rFonts w:ascii="Inter" w:hAnsi="Inter" w:cs="Calibri"/>
          <w:sz w:val="22"/>
          <w:szCs w:val="22"/>
        </w:rPr>
        <w:t>make up approximately 48% of the PGR student population</w:t>
      </w:r>
      <w:r w:rsidR="00457DE2" w:rsidRPr="00524998">
        <w:rPr>
          <w:rFonts w:ascii="Inter" w:hAnsi="Inter" w:cs="Calibri"/>
          <w:sz w:val="22"/>
          <w:szCs w:val="22"/>
        </w:rPr>
        <w:t xml:space="preserve">, </w:t>
      </w:r>
      <w:r w:rsidR="35D43E57" w:rsidRPr="00524998">
        <w:rPr>
          <w:rFonts w:ascii="Inter" w:hAnsi="Inter" w:cs="Calibri"/>
          <w:sz w:val="22"/>
          <w:szCs w:val="22"/>
        </w:rPr>
        <w:t>and a</w:t>
      </w:r>
      <w:r w:rsidR="00457DE2" w:rsidRPr="00524998">
        <w:rPr>
          <w:rFonts w:ascii="Inter" w:hAnsi="Inter" w:cs="Calibri"/>
          <w:sz w:val="22"/>
          <w:szCs w:val="22"/>
        </w:rPr>
        <w:t xml:space="preserve">pproximately 30% of </w:t>
      </w:r>
      <w:r w:rsidR="0FDCFC2A" w:rsidRPr="00524998">
        <w:rPr>
          <w:rFonts w:ascii="Inter" w:hAnsi="Inter" w:cs="Calibri"/>
          <w:sz w:val="22"/>
          <w:szCs w:val="22"/>
        </w:rPr>
        <w:t xml:space="preserve">our </w:t>
      </w:r>
      <w:r w:rsidR="00457DE2" w:rsidRPr="00524998">
        <w:rPr>
          <w:rFonts w:ascii="Inter" w:hAnsi="Inter" w:cs="Calibri"/>
          <w:sz w:val="22"/>
          <w:szCs w:val="22"/>
        </w:rPr>
        <w:t xml:space="preserve">mature PGRs study part-time. </w:t>
      </w:r>
    </w:p>
    <w:p w14:paraId="52B27972" w14:textId="4B21C958" w:rsidR="006B3303" w:rsidRPr="00524998" w:rsidRDefault="00DC191E" w:rsidP="00524998">
      <w:pPr>
        <w:pStyle w:val="Heading2"/>
        <w:rPr>
          <w:sz w:val="22"/>
          <w:szCs w:val="22"/>
        </w:rPr>
      </w:pPr>
      <w:r w:rsidRPr="00524998">
        <w:rPr>
          <w:sz w:val="22"/>
          <w:szCs w:val="22"/>
        </w:rPr>
        <w:t>Motivation for doing PGR study</w:t>
      </w:r>
    </w:p>
    <w:p w14:paraId="50AC7D6A" w14:textId="1EB4FB74" w:rsidR="00BE52E3" w:rsidRPr="00524998" w:rsidRDefault="304223CD" w:rsidP="001F50A2">
      <w:pPr>
        <w:rPr>
          <w:rFonts w:ascii="Inter" w:hAnsi="Inter" w:cs="Calibri"/>
          <w:sz w:val="22"/>
          <w:szCs w:val="22"/>
        </w:rPr>
      </w:pPr>
      <w:r w:rsidRPr="00524998">
        <w:rPr>
          <w:rFonts w:ascii="Inter" w:hAnsi="Inter" w:cs="Calibri"/>
          <w:sz w:val="22"/>
          <w:szCs w:val="22"/>
        </w:rPr>
        <w:t xml:space="preserve">Feedback from our </w:t>
      </w:r>
      <w:r w:rsidR="59BCE478" w:rsidRPr="00524998">
        <w:rPr>
          <w:rFonts w:ascii="Inter" w:hAnsi="Inter" w:cs="Calibri"/>
          <w:sz w:val="22"/>
          <w:szCs w:val="22"/>
        </w:rPr>
        <w:t>m</w:t>
      </w:r>
      <w:r w:rsidR="5F85FA96" w:rsidRPr="00524998">
        <w:rPr>
          <w:rFonts w:ascii="Inter" w:hAnsi="Inter" w:cs="Calibri"/>
          <w:sz w:val="22"/>
          <w:szCs w:val="22"/>
        </w:rPr>
        <w:t xml:space="preserve">ature </w:t>
      </w:r>
      <w:r w:rsidR="00BE52E3" w:rsidRPr="00524998">
        <w:rPr>
          <w:rFonts w:ascii="Inter" w:hAnsi="Inter" w:cs="Calibri"/>
          <w:sz w:val="22"/>
          <w:szCs w:val="22"/>
        </w:rPr>
        <w:t>PGRs</w:t>
      </w:r>
      <w:r w:rsidR="0ECAA199" w:rsidRPr="00524998">
        <w:rPr>
          <w:rFonts w:ascii="Inter" w:hAnsi="Inter" w:cs="Calibri"/>
          <w:sz w:val="22"/>
          <w:szCs w:val="22"/>
        </w:rPr>
        <w:t xml:space="preserve"> </w:t>
      </w:r>
      <w:r w:rsidR="4572CD77" w:rsidRPr="00524998">
        <w:rPr>
          <w:rFonts w:ascii="Inter" w:hAnsi="Inter" w:cs="Calibri"/>
          <w:sz w:val="22"/>
          <w:szCs w:val="22"/>
        </w:rPr>
        <w:t xml:space="preserve">tell us that their </w:t>
      </w:r>
      <w:r w:rsidR="00BE52E3" w:rsidRPr="00524998">
        <w:rPr>
          <w:rFonts w:ascii="Inter" w:hAnsi="Inter" w:cs="Calibri"/>
          <w:sz w:val="22"/>
          <w:szCs w:val="22"/>
        </w:rPr>
        <w:t>needs vary significantly by age, career stage, and personal circumstances (</w:t>
      </w:r>
      <w:r w:rsidR="00A20EE4" w:rsidRPr="00524998">
        <w:rPr>
          <w:rFonts w:ascii="Inter" w:hAnsi="Inter" w:cs="Calibri"/>
          <w:sz w:val="22"/>
          <w:szCs w:val="22"/>
        </w:rPr>
        <w:t>for example</w:t>
      </w:r>
      <w:r w:rsidR="00BE52E3" w:rsidRPr="00524998">
        <w:rPr>
          <w:rFonts w:ascii="Inter" w:hAnsi="Inter" w:cs="Calibri"/>
          <w:sz w:val="22"/>
          <w:szCs w:val="22"/>
        </w:rPr>
        <w:t>, parents or caregivers, early versus late career). The primary distinction is between those pursuing a PhD for career development</w:t>
      </w:r>
      <w:r w:rsidR="00BA548A" w:rsidRPr="00524998">
        <w:rPr>
          <w:rFonts w:ascii="Inter" w:hAnsi="Inter" w:cs="Calibri"/>
          <w:sz w:val="22"/>
          <w:szCs w:val="22"/>
        </w:rPr>
        <w:t xml:space="preserve"> or </w:t>
      </w:r>
      <w:r w:rsidR="00BE52E3" w:rsidRPr="00524998">
        <w:rPr>
          <w:rFonts w:ascii="Inter" w:hAnsi="Inter" w:cs="Calibri"/>
          <w:sz w:val="22"/>
          <w:szCs w:val="22"/>
        </w:rPr>
        <w:t xml:space="preserve">pivot and those doing so for personal enrichment, often at retirement age. </w:t>
      </w:r>
      <w:r w:rsidR="00457DE2" w:rsidRPr="00524998">
        <w:rPr>
          <w:rFonts w:ascii="Inter" w:hAnsi="Inter" w:cs="Calibri"/>
          <w:sz w:val="22"/>
          <w:szCs w:val="22"/>
        </w:rPr>
        <w:t>A more helpful way of considering wh</w:t>
      </w:r>
      <w:r w:rsidR="2432AE8B" w:rsidRPr="00524998">
        <w:rPr>
          <w:rFonts w:ascii="Inter" w:hAnsi="Inter" w:cs="Calibri"/>
          <w:sz w:val="22"/>
          <w:szCs w:val="22"/>
        </w:rPr>
        <w:t>o</w:t>
      </w:r>
      <w:r w:rsidR="00457DE2" w:rsidRPr="00524998">
        <w:rPr>
          <w:rFonts w:ascii="Inter" w:hAnsi="Inter" w:cs="Calibri"/>
          <w:sz w:val="22"/>
          <w:szCs w:val="22"/>
        </w:rPr>
        <w:t xml:space="preserve"> counts as a mature PGR is the level of responsibilities and commitments that come with being older, meaning it can also be self-defined. </w:t>
      </w:r>
      <w:r w:rsidR="00F35554" w:rsidRPr="00524998">
        <w:rPr>
          <w:rFonts w:ascii="Inter" w:hAnsi="Inter" w:cs="Calibri"/>
          <w:sz w:val="22"/>
          <w:szCs w:val="22"/>
        </w:rPr>
        <w:t>The</w:t>
      </w:r>
      <w:r w:rsidR="00457DE2" w:rsidRPr="00524998">
        <w:rPr>
          <w:rFonts w:ascii="Inter" w:hAnsi="Inter" w:cs="Calibri"/>
          <w:sz w:val="22"/>
          <w:szCs w:val="22"/>
        </w:rPr>
        <w:t xml:space="preserve"> following categories a</w:t>
      </w:r>
      <w:r w:rsidR="2E4FEA5E" w:rsidRPr="00524998">
        <w:rPr>
          <w:rFonts w:ascii="Inter" w:hAnsi="Inter" w:cs="Calibri"/>
          <w:sz w:val="22"/>
          <w:szCs w:val="22"/>
        </w:rPr>
        <w:t>re</w:t>
      </w:r>
      <w:r w:rsidR="00457DE2" w:rsidRPr="00524998">
        <w:rPr>
          <w:rFonts w:ascii="Inter" w:hAnsi="Inter" w:cs="Calibri"/>
          <w:sz w:val="22"/>
          <w:szCs w:val="22"/>
        </w:rPr>
        <w:t xml:space="preserve"> a starting point for understanding the needs of different groups of mature students: </w:t>
      </w:r>
    </w:p>
    <w:tbl>
      <w:tblPr>
        <w:tblStyle w:val="TableGrid"/>
        <w:tblW w:w="9478" w:type="dxa"/>
        <w:tblLook w:val="04A0" w:firstRow="1" w:lastRow="0" w:firstColumn="1" w:lastColumn="0" w:noHBand="0" w:noVBand="1"/>
      </w:tblPr>
      <w:tblGrid>
        <w:gridCol w:w="2501"/>
        <w:gridCol w:w="6977"/>
      </w:tblGrid>
      <w:tr w:rsidR="00457DE2" w:rsidRPr="00524998" w14:paraId="16D7A69C" w14:textId="77777777" w:rsidTr="45A0E870">
        <w:trPr>
          <w:trHeight w:val="397"/>
        </w:trPr>
        <w:tc>
          <w:tcPr>
            <w:tcW w:w="2501" w:type="dxa"/>
            <w:hideMark/>
          </w:tcPr>
          <w:p w14:paraId="70D8C2D8" w14:textId="77777777" w:rsidR="00457DE2" w:rsidRPr="00524998" w:rsidRDefault="00457DE2">
            <w:pPr>
              <w:spacing w:line="360" w:lineRule="auto"/>
              <w:jc w:val="both"/>
              <w:rPr>
                <w:rFonts w:ascii="Inter" w:hAnsi="Inter" w:cs="Calibri"/>
                <w:b/>
                <w:bCs/>
                <w:sz w:val="22"/>
                <w:szCs w:val="22"/>
              </w:rPr>
            </w:pPr>
            <w:r w:rsidRPr="00524998">
              <w:rPr>
                <w:rFonts w:ascii="Inter" w:hAnsi="Inter" w:cs="Calibri"/>
                <w:b/>
                <w:bCs/>
                <w:sz w:val="22"/>
                <w:szCs w:val="22"/>
              </w:rPr>
              <w:t>Category</w:t>
            </w:r>
          </w:p>
        </w:tc>
        <w:tc>
          <w:tcPr>
            <w:tcW w:w="6977" w:type="dxa"/>
            <w:hideMark/>
          </w:tcPr>
          <w:p w14:paraId="46B7DE4A" w14:textId="77777777" w:rsidR="00457DE2" w:rsidRPr="00524998" w:rsidRDefault="00457DE2">
            <w:pPr>
              <w:spacing w:line="360" w:lineRule="auto"/>
              <w:jc w:val="both"/>
              <w:rPr>
                <w:rFonts w:ascii="Inter" w:hAnsi="Inter" w:cs="Calibri"/>
                <w:b/>
                <w:bCs/>
                <w:sz w:val="22"/>
                <w:szCs w:val="22"/>
              </w:rPr>
            </w:pPr>
            <w:r w:rsidRPr="00524998">
              <w:rPr>
                <w:rFonts w:ascii="Inter" w:hAnsi="Inter" w:cs="Calibri"/>
                <w:b/>
                <w:bCs/>
                <w:sz w:val="22"/>
                <w:szCs w:val="22"/>
              </w:rPr>
              <w:t>Likely Characteristics</w:t>
            </w:r>
          </w:p>
        </w:tc>
      </w:tr>
      <w:tr w:rsidR="00457DE2" w:rsidRPr="00524998" w14:paraId="57D12033" w14:textId="77777777" w:rsidTr="00B72704">
        <w:trPr>
          <w:trHeight w:val="1167"/>
        </w:trPr>
        <w:tc>
          <w:tcPr>
            <w:tcW w:w="2501" w:type="dxa"/>
            <w:hideMark/>
          </w:tcPr>
          <w:p w14:paraId="6A1F6D76" w14:textId="77777777" w:rsidR="00457DE2" w:rsidRPr="00524998" w:rsidRDefault="00457DE2" w:rsidP="009C151E">
            <w:pPr>
              <w:rPr>
                <w:rFonts w:ascii="Inter" w:hAnsi="Inter"/>
                <w:sz w:val="22"/>
                <w:szCs w:val="22"/>
              </w:rPr>
            </w:pPr>
            <w:r w:rsidRPr="00524998">
              <w:rPr>
                <w:rFonts w:ascii="Inter" w:hAnsi="Inter"/>
                <w:sz w:val="22"/>
                <w:szCs w:val="22"/>
              </w:rPr>
              <w:t xml:space="preserve">For pleasure </w:t>
            </w:r>
          </w:p>
        </w:tc>
        <w:tc>
          <w:tcPr>
            <w:tcW w:w="6977" w:type="dxa"/>
            <w:hideMark/>
          </w:tcPr>
          <w:p w14:paraId="52B729F3" w14:textId="1BAE3C9A" w:rsidR="00457DE2" w:rsidRPr="00524998" w:rsidRDefault="00457DE2" w:rsidP="009C151E">
            <w:pPr>
              <w:rPr>
                <w:rFonts w:ascii="Inter" w:hAnsi="Inter"/>
                <w:sz w:val="22"/>
                <w:szCs w:val="22"/>
              </w:rPr>
            </w:pPr>
            <w:r w:rsidRPr="00524998">
              <w:rPr>
                <w:rFonts w:ascii="Inter" w:hAnsi="Inter"/>
                <w:sz w:val="22"/>
                <w:szCs w:val="22"/>
              </w:rPr>
              <w:t>Typically, 50+ but often older, pre</w:t>
            </w:r>
            <w:r w:rsidR="009E5761" w:rsidRPr="00524998">
              <w:rPr>
                <w:rFonts w:ascii="Inter" w:hAnsi="Inter"/>
                <w:sz w:val="22"/>
                <w:szCs w:val="22"/>
              </w:rPr>
              <w:t>-</w:t>
            </w:r>
            <w:r w:rsidRPr="00524998">
              <w:rPr>
                <w:rFonts w:ascii="Inter" w:hAnsi="Inter"/>
                <w:sz w:val="22"/>
                <w:szCs w:val="22"/>
              </w:rPr>
              <w:t xml:space="preserve"> or post-retirement; self-funded; </w:t>
            </w:r>
            <w:r w:rsidR="002F6DB7" w:rsidRPr="00524998">
              <w:rPr>
                <w:rFonts w:ascii="Inter" w:hAnsi="Inter"/>
                <w:sz w:val="22"/>
                <w:szCs w:val="22"/>
              </w:rPr>
              <w:t>a</w:t>
            </w:r>
            <w:r w:rsidRPr="00524998">
              <w:rPr>
                <w:rFonts w:ascii="Inter" w:hAnsi="Inter"/>
                <w:sz w:val="22"/>
                <w:szCs w:val="22"/>
              </w:rPr>
              <w:t>rts/</w:t>
            </w:r>
            <w:r w:rsidR="002F6DB7" w:rsidRPr="00524998">
              <w:rPr>
                <w:rFonts w:ascii="Inter" w:hAnsi="Inter"/>
                <w:sz w:val="22"/>
                <w:szCs w:val="22"/>
              </w:rPr>
              <w:t>h</w:t>
            </w:r>
            <w:r w:rsidRPr="00524998">
              <w:rPr>
                <w:rFonts w:ascii="Inter" w:hAnsi="Inter"/>
                <w:sz w:val="22"/>
                <w:szCs w:val="22"/>
              </w:rPr>
              <w:t>umanities focus; motivated by personal fulfilment or creativity; carers for children/grandchildren; frequently managing health conditions or disabilities associated with ageing</w:t>
            </w:r>
          </w:p>
        </w:tc>
      </w:tr>
      <w:tr w:rsidR="00457DE2" w:rsidRPr="00524998" w14:paraId="38A3310F" w14:textId="77777777" w:rsidTr="45A0E870">
        <w:trPr>
          <w:trHeight w:val="1177"/>
        </w:trPr>
        <w:tc>
          <w:tcPr>
            <w:tcW w:w="2501" w:type="dxa"/>
            <w:hideMark/>
          </w:tcPr>
          <w:p w14:paraId="0CCD24F7" w14:textId="741B4EE7" w:rsidR="00457DE2" w:rsidRPr="00524998" w:rsidRDefault="00457DE2" w:rsidP="009C151E">
            <w:pPr>
              <w:rPr>
                <w:rFonts w:ascii="Inter" w:hAnsi="Inter"/>
                <w:sz w:val="22"/>
                <w:szCs w:val="22"/>
              </w:rPr>
            </w:pPr>
            <w:r w:rsidRPr="00524998">
              <w:rPr>
                <w:rFonts w:ascii="Inter" w:hAnsi="Inter"/>
                <w:sz w:val="22"/>
                <w:szCs w:val="22"/>
              </w:rPr>
              <w:t xml:space="preserve">Career </w:t>
            </w:r>
            <w:r w:rsidR="001F7EC3" w:rsidRPr="00524998">
              <w:rPr>
                <w:rFonts w:ascii="Inter" w:hAnsi="Inter"/>
                <w:sz w:val="22"/>
                <w:szCs w:val="22"/>
              </w:rPr>
              <w:t>p</w:t>
            </w:r>
            <w:r w:rsidRPr="00524998">
              <w:rPr>
                <w:rFonts w:ascii="Inter" w:hAnsi="Inter"/>
                <w:sz w:val="22"/>
                <w:szCs w:val="22"/>
              </w:rPr>
              <w:t>ivoters</w:t>
            </w:r>
          </w:p>
        </w:tc>
        <w:tc>
          <w:tcPr>
            <w:tcW w:w="6977" w:type="dxa"/>
            <w:hideMark/>
          </w:tcPr>
          <w:p w14:paraId="350FC271" w14:textId="2528C61E" w:rsidR="00457DE2" w:rsidRPr="00524998" w:rsidRDefault="00457DE2" w:rsidP="009C151E">
            <w:pPr>
              <w:rPr>
                <w:rFonts w:ascii="Inter" w:hAnsi="Inter"/>
                <w:sz w:val="22"/>
                <w:szCs w:val="22"/>
              </w:rPr>
            </w:pPr>
            <w:r w:rsidRPr="00524998">
              <w:rPr>
                <w:rFonts w:ascii="Inter" w:hAnsi="Inter"/>
                <w:sz w:val="22"/>
                <w:szCs w:val="22"/>
              </w:rPr>
              <w:t>Aged approx</w:t>
            </w:r>
            <w:r w:rsidR="00C11C88" w:rsidRPr="00524998">
              <w:rPr>
                <w:rFonts w:ascii="Inter" w:hAnsi="Inter"/>
                <w:sz w:val="22"/>
                <w:szCs w:val="22"/>
              </w:rPr>
              <w:t>imately</w:t>
            </w:r>
            <w:r w:rsidRPr="00524998">
              <w:rPr>
                <w:rFonts w:ascii="Inter" w:hAnsi="Inter"/>
                <w:sz w:val="22"/>
                <w:szCs w:val="22"/>
              </w:rPr>
              <w:t xml:space="preserve"> 29–50; re-training </w:t>
            </w:r>
            <w:r w:rsidR="00073931" w:rsidRPr="00524998">
              <w:rPr>
                <w:rFonts w:ascii="Inter" w:hAnsi="Inter"/>
                <w:sz w:val="22"/>
                <w:szCs w:val="22"/>
              </w:rPr>
              <w:t>for</w:t>
            </w:r>
            <w:r w:rsidRPr="00524998">
              <w:rPr>
                <w:rFonts w:ascii="Inter" w:hAnsi="Inter"/>
                <w:sz w:val="22"/>
                <w:szCs w:val="22"/>
              </w:rPr>
              <w:t xml:space="preserve"> change careers</w:t>
            </w:r>
            <w:r w:rsidR="00073931" w:rsidRPr="00524998">
              <w:rPr>
                <w:rFonts w:ascii="Inter" w:hAnsi="Inter"/>
                <w:sz w:val="22"/>
                <w:szCs w:val="22"/>
              </w:rPr>
              <w:t xml:space="preserve"> or progression</w:t>
            </w:r>
            <w:r w:rsidRPr="00524998">
              <w:rPr>
                <w:rFonts w:ascii="Inter" w:hAnsi="Inter"/>
                <w:sz w:val="22"/>
                <w:szCs w:val="22"/>
              </w:rPr>
              <w:t xml:space="preserve"> (not necessarily academic</w:t>
            </w:r>
            <w:r w:rsidR="00B26D45" w:rsidRPr="00524998">
              <w:rPr>
                <w:rFonts w:ascii="Inter" w:hAnsi="Inter"/>
                <w:sz w:val="22"/>
                <w:szCs w:val="22"/>
              </w:rPr>
              <w:t xml:space="preserve"> </w:t>
            </w:r>
            <w:r w:rsidRPr="00524998">
              <w:rPr>
                <w:rFonts w:ascii="Inter" w:hAnsi="Inter"/>
                <w:sz w:val="22"/>
                <w:szCs w:val="22"/>
              </w:rPr>
              <w:t>career); all disciplines; mixed funding; frequently parent-carers; often re-entering education after break</w:t>
            </w:r>
          </w:p>
        </w:tc>
      </w:tr>
    </w:tbl>
    <w:p w14:paraId="2CFDB395" w14:textId="7F216F1E" w:rsidR="008913A8" w:rsidRDefault="00682C13" w:rsidP="001F50A2">
      <w:pPr>
        <w:spacing w:before="240"/>
        <w:rPr>
          <w:rFonts w:ascii="Inter" w:hAnsi="Inter" w:cs="Calibri"/>
          <w:sz w:val="22"/>
          <w:szCs w:val="22"/>
        </w:rPr>
      </w:pPr>
      <w:r w:rsidRPr="00524998">
        <w:rPr>
          <w:rFonts w:ascii="Inter" w:hAnsi="Inter" w:cs="Calibri"/>
          <w:sz w:val="22"/>
          <w:szCs w:val="22"/>
        </w:rPr>
        <w:t>While these age categories are not definitive and some individuals return to higher education for a career change after the age of 50, they serve as a useful guide to help supervisors better understand their mature students</w:t>
      </w:r>
      <w:r w:rsidR="0000033F" w:rsidRPr="00524998">
        <w:rPr>
          <w:rFonts w:ascii="Inter" w:hAnsi="Inter" w:cs="Calibri"/>
          <w:sz w:val="22"/>
          <w:szCs w:val="22"/>
        </w:rPr>
        <w:t>.</w:t>
      </w:r>
    </w:p>
    <w:p w14:paraId="3B3E8B5E" w14:textId="77777777" w:rsidR="008913A8" w:rsidRDefault="008913A8">
      <w:pPr>
        <w:rPr>
          <w:rFonts w:ascii="Inter" w:hAnsi="Inter" w:cs="Calibri"/>
          <w:sz w:val="22"/>
          <w:szCs w:val="22"/>
        </w:rPr>
      </w:pPr>
      <w:r>
        <w:rPr>
          <w:rFonts w:ascii="Inter" w:hAnsi="Inter" w:cs="Calibri"/>
          <w:sz w:val="22"/>
          <w:szCs w:val="22"/>
        </w:rPr>
        <w:br w:type="page"/>
      </w:r>
    </w:p>
    <w:p w14:paraId="754AB5B4" w14:textId="166EC825" w:rsidR="005232D8" w:rsidRPr="00524998" w:rsidRDefault="00586277" w:rsidP="00524998">
      <w:pPr>
        <w:pStyle w:val="Heading3"/>
        <w:rPr>
          <w:sz w:val="22"/>
          <w:szCs w:val="22"/>
        </w:rPr>
      </w:pPr>
      <w:r w:rsidRPr="00524998">
        <w:rPr>
          <w:sz w:val="22"/>
          <w:szCs w:val="22"/>
        </w:rPr>
        <w:t>Motivations</w:t>
      </w:r>
      <w:r w:rsidR="007F522C" w:rsidRPr="00524998">
        <w:rPr>
          <w:sz w:val="22"/>
          <w:szCs w:val="22"/>
        </w:rPr>
        <w:t xml:space="preserve"> end expectations</w:t>
      </w:r>
    </w:p>
    <w:p w14:paraId="3B8B350E" w14:textId="2F5E0ED9" w:rsidR="006A4D04" w:rsidRPr="00524998" w:rsidRDefault="004D5874" w:rsidP="001F50A2">
      <w:pPr>
        <w:rPr>
          <w:rFonts w:ascii="Inter" w:hAnsi="Inter" w:cs="Calibri"/>
          <w:b/>
          <w:bCs/>
          <w:sz w:val="22"/>
          <w:szCs w:val="22"/>
        </w:rPr>
      </w:pPr>
      <w:r w:rsidRPr="00524998">
        <w:rPr>
          <w:rFonts w:ascii="Inter" w:hAnsi="Inter" w:cs="Calibri"/>
          <w:sz w:val="22"/>
          <w:szCs w:val="22"/>
        </w:rPr>
        <w:t xml:space="preserve">Transitioning from a well-established professional career to the role of a PhD student in academia can evoke a wide </w:t>
      </w:r>
      <w:r w:rsidR="0043174A" w:rsidRPr="00524998">
        <w:rPr>
          <w:rFonts w:ascii="Inter" w:hAnsi="Inter" w:cs="Calibri"/>
          <w:sz w:val="22"/>
          <w:szCs w:val="22"/>
        </w:rPr>
        <w:t>range</w:t>
      </w:r>
      <w:r w:rsidRPr="00524998">
        <w:rPr>
          <w:rFonts w:ascii="Inter" w:hAnsi="Inter" w:cs="Calibri"/>
          <w:sz w:val="22"/>
          <w:szCs w:val="22"/>
        </w:rPr>
        <w:t xml:space="preserve"> of feelings. </w:t>
      </w:r>
      <w:r w:rsidR="002D3839" w:rsidRPr="00524998">
        <w:rPr>
          <w:rFonts w:ascii="Inter" w:hAnsi="Inter" w:cs="Calibri"/>
          <w:sz w:val="22"/>
          <w:szCs w:val="22"/>
        </w:rPr>
        <w:t>T</w:t>
      </w:r>
      <w:r w:rsidR="006A4D04" w:rsidRPr="00524998">
        <w:rPr>
          <w:rFonts w:ascii="Inter" w:hAnsi="Inter" w:cs="Calibri"/>
          <w:sz w:val="22"/>
          <w:szCs w:val="22"/>
        </w:rPr>
        <w:t>hose with professional backgrounds may expect a PhD to be more impact-driven and </w:t>
      </w:r>
      <w:r w:rsidR="003E7E74" w:rsidRPr="00524998">
        <w:rPr>
          <w:rFonts w:ascii="Inter" w:hAnsi="Inter" w:cs="Calibri"/>
          <w:sz w:val="22"/>
          <w:szCs w:val="22"/>
        </w:rPr>
        <w:t>feel</w:t>
      </w:r>
      <w:r w:rsidR="000528DB" w:rsidRPr="00524998">
        <w:rPr>
          <w:rFonts w:ascii="Inter" w:hAnsi="Inter" w:cs="Calibri"/>
          <w:sz w:val="22"/>
          <w:szCs w:val="22"/>
        </w:rPr>
        <w:t xml:space="preserve"> less comfortable </w:t>
      </w:r>
      <w:r w:rsidR="004E5DD7" w:rsidRPr="00524998">
        <w:rPr>
          <w:rFonts w:ascii="Inter" w:hAnsi="Inter" w:cs="Calibri"/>
          <w:sz w:val="22"/>
          <w:szCs w:val="22"/>
        </w:rPr>
        <w:t xml:space="preserve">with the conceptual </w:t>
      </w:r>
      <w:r w:rsidR="008029B3" w:rsidRPr="00524998">
        <w:rPr>
          <w:rFonts w:ascii="Inter" w:hAnsi="Inter" w:cs="Calibri"/>
          <w:sz w:val="22"/>
          <w:szCs w:val="22"/>
        </w:rPr>
        <w:t xml:space="preserve">and </w:t>
      </w:r>
      <w:r w:rsidR="004E5DD7" w:rsidRPr="00524998">
        <w:rPr>
          <w:rFonts w:ascii="Inter" w:hAnsi="Inter" w:cs="Calibri"/>
          <w:sz w:val="22"/>
          <w:szCs w:val="22"/>
        </w:rPr>
        <w:t xml:space="preserve">theoretical </w:t>
      </w:r>
      <w:r w:rsidR="5C3E20E1" w:rsidRPr="00524998">
        <w:rPr>
          <w:rFonts w:ascii="Inter" w:hAnsi="Inter" w:cs="Calibri"/>
          <w:sz w:val="22"/>
          <w:szCs w:val="22"/>
        </w:rPr>
        <w:t>aspects of</w:t>
      </w:r>
      <w:r w:rsidR="008029B3" w:rsidRPr="00524998">
        <w:rPr>
          <w:rFonts w:ascii="Inter" w:hAnsi="Inter" w:cs="Calibri"/>
          <w:sz w:val="22"/>
          <w:szCs w:val="22"/>
        </w:rPr>
        <w:t xml:space="preserve"> academic research</w:t>
      </w:r>
      <w:r w:rsidR="004E5DD7" w:rsidRPr="00524998">
        <w:rPr>
          <w:rFonts w:ascii="Inter" w:hAnsi="Inter" w:cs="Calibri"/>
          <w:sz w:val="22"/>
          <w:szCs w:val="22"/>
        </w:rPr>
        <w:t xml:space="preserve"> </w:t>
      </w:r>
      <w:r w:rsidRPr="00524998">
        <w:rPr>
          <w:rFonts w:ascii="Inter" w:hAnsi="Inter" w:cs="Calibri"/>
          <w:sz w:val="22"/>
          <w:szCs w:val="22"/>
        </w:rPr>
        <w:fldChar w:fldCharType="begin"/>
      </w:r>
      <w:r w:rsidRPr="00524998">
        <w:rPr>
          <w:rFonts w:ascii="Inter" w:hAnsi="Inter" w:cs="Calibri"/>
          <w:sz w:val="22"/>
          <w:szCs w:val="22"/>
        </w:rPr>
        <w:instrText xml:space="preserve"> ADDIN EN.CITE &lt;EndNote&gt;&lt;Cite&gt;&lt;Author&gt;Fox&lt;/Author&gt;&lt;Year&gt;2014&lt;/Year&gt;&lt;RecNum&gt;1349&lt;/RecNum&gt;&lt;DisplayText&gt;(Fox and Slade 2014, Kumar and Antonenko 2014)&lt;/DisplayText&gt;&lt;record&gt;&lt;rec-number&gt;1349&lt;/rec-number&gt;&lt;foreign-keys&gt;&lt;key app="EN" db-id="5vf22xatlw50reerez5vrpd6rfarfarffe95" timestamp="1748530055"&gt;1349&lt;/key&gt;&lt;/foreign-keys&gt;&lt;ref-type name="Journal Article"&gt;17&lt;/ref-type&gt;&lt;contributors&gt;&lt;authors&gt;&lt;author&gt;Fox, Alison&lt;/author&gt;&lt;author&gt;Slade, Bonnie&lt;/author&gt;&lt;/authors&gt;&lt;/contributors&gt;&lt;titles&gt;&lt;title&gt;What impact can organisations expect from professional doctorates?&lt;/title&gt;&lt;secondary-title&gt;Professional Development in Education&lt;/secondary-title&gt;&lt;/titles&gt;&lt;periodical&gt;&lt;full-title&gt;Professional Development in Education&lt;/full-title&gt;&lt;/periodical&gt;&lt;pages&gt;546-560&lt;/pages&gt;&lt;volume&gt;40&lt;/volume&gt;&lt;number&gt;4&lt;/number&gt;&lt;dates&gt;&lt;year&gt;2014&lt;/year&gt;&lt;/dates&gt;&lt;isbn&gt;1941-5257&lt;/isbn&gt;&lt;urls&gt;&lt;/urls&gt;&lt;/record&gt;&lt;/Cite&gt;&lt;Cite&gt;&lt;Author&gt;Kumar&lt;/Author&gt;&lt;Year&gt;2014&lt;/Year&gt;&lt;RecNum&gt;1348&lt;/RecNum&gt;&lt;record&gt;&lt;rec-number&gt;1348&lt;/rec-number&gt;&lt;foreign-keys&gt;&lt;key app="EN" db-id="5vf22xatlw50reerez5vrpd6rfarfarffe95" timestamp="1748529990"&gt;1348&lt;/key&gt;&lt;/foreign-keys&gt;&lt;ref-type name="Journal Article"&gt;17&lt;/ref-type&gt;&lt;contributors&gt;&lt;authors&gt;&lt;author&gt;Kumar, Swapna&lt;/author&gt;&lt;author&gt;Antonenko, Pavlo&lt;/author&gt;&lt;/authors&gt;&lt;/contributors&gt;&lt;titles&gt;&lt;title&gt;Connecting practice, theory and method: Supporting professional doctoral students in developing conceptual frameworks&lt;/title&gt;&lt;secondary-title&gt;TechTrends&lt;/secondary-title&gt;&lt;/titles&gt;&lt;periodical&gt;&lt;full-title&gt;TechTrends&lt;/full-title&gt;&lt;/periodical&gt;&lt;pages&gt;54-61&lt;/pages&gt;&lt;volume&gt;58&lt;/volume&gt;&lt;number&gt;4&lt;/number&gt;&lt;dates&gt;&lt;year&gt;2014&lt;/year&gt;&lt;/dates&gt;&lt;isbn&gt;8756-3894&lt;/isbn&gt;&lt;urls&gt;&lt;/urls&gt;&lt;/record&gt;&lt;/Cite&gt;&lt;/EndNote&gt;</w:instrText>
      </w:r>
      <w:r w:rsidRPr="00524998">
        <w:rPr>
          <w:rFonts w:ascii="Inter" w:hAnsi="Inter" w:cs="Calibri"/>
          <w:sz w:val="22"/>
          <w:szCs w:val="22"/>
        </w:rPr>
        <w:fldChar w:fldCharType="separate"/>
      </w:r>
      <w:r w:rsidR="006A4D04" w:rsidRPr="00524998">
        <w:rPr>
          <w:rFonts w:ascii="Inter" w:hAnsi="Inter" w:cs="Calibri"/>
          <w:sz w:val="22"/>
          <w:szCs w:val="22"/>
        </w:rPr>
        <w:t>(Fox and Slade 2014, Kumar and Antonenko 2014)</w:t>
      </w:r>
      <w:r w:rsidRPr="00524998">
        <w:rPr>
          <w:rFonts w:ascii="Inter" w:hAnsi="Inter" w:cs="Calibri"/>
          <w:sz w:val="22"/>
          <w:szCs w:val="22"/>
        </w:rPr>
        <w:fldChar w:fldCharType="end"/>
      </w:r>
      <w:r w:rsidR="006A4D04" w:rsidRPr="00524998">
        <w:rPr>
          <w:rFonts w:ascii="Inter" w:hAnsi="Inter" w:cs="Calibri"/>
          <w:sz w:val="22"/>
          <w:szCs w:val="22"/>
        </w:rPr>
        <w:t xml:space="preserve">. </w:t>
      </w:r>
      <w:r w:rsidR="00765D5C" w:rsidRPr="00524998">
        <w:rPr>
          <w:rFonts w:ascii="Inter" w:hAnsi="Inter" w:cs="Calibri"/>
          <w:sz w:val="22"/>
          <w:szCs w:val="22"/>
        </w:rPr>
        <w:lastRenderedPageBreak/>
        <w:t xml:space="preserve">While some may experience moments of imposter syndrome, others </w:t>
      </w:r>
      <w:r w:rsidR="00341AFD" w:rsidRPr="00524998">
        <w:rPr>
          <w:rFonts w:ascii="Inter" w:hAnsi="Inter" w:cs="Calibri"/>
          <w:sz w:val="22"/>
          <w:szCs w:val="22"/>
        </w:rPr>
        <w:t>may approach</w:t>
      </w:r>
      <w:r w:rsidR="00765D5C" w:rsidRPr="00524998">
        <w:rPr>
          <w:rFonts w:ascii="Inter" w:hAnsi="Inter" w:cs="Calibri"/>
          <w:sz w:val="22"/>
          <w:szCs w:val="22"/>
        </w:rPr>
        <w:t xml:space="preserve"> their doctoral studies with confidence, drawing on their extensive experience and viewing the PhD as a continuation of their professional journey. Valuing both prior expertise and the unique rigor of doctoral-level scholarship can help ensure a rewarding and successful PhD experience</w:t>
      </w:r>
      <w:r w:rsidR="006A4D04" w:rsidRPr="00524998">
        <w:rPr>
          <w:rFonts w:ascii="Inter" w:hAnsi="Inter" w:cs="Calibri"/>
          <w:sz w:val="22"/>
          <w:szCs w:val="22"/>
        </w:rPr>
        <w:t xml:space="preserve">. </w:t>
      </w:r>
    </w:p>
    <w:p w14:paraId="32C0F055" w14:textId="7FAD7D3C" w:rsidR="006A4D04" w:rsidRPr="00524998" w:rsidRDefault="006A4D04" w:rsidP="001F50A2">
      <w:pPr>
        <w:rPr>
          <w:rFonts w:ascii="Inter" w:hAnsi="Inter" w:cs="Calibri"/>
          <w:sz w:val="22"/>
          <w:szCs w:val="22"/>
        </w:rPr>
      </w:pPr>
      <w:r w:rsidRPr="00524998">
        <w:rPr>
          <w:rFonts w:ascii="Inter" w:hAnsi="Inter" w:cs="Calibri"/>
          <w:sz w:val="22"/>
          <w:szCs w:val="22"/>
        </w:rPr>
        <w:t xml:space="preserve">Mature PGRs </w:t>
      </w:r>
      <w:r w:rsidR="0095625E" w:rsidRPr="00524998">
        <w:rPr>
          <w:rFonts w:ascii="Inter" w:hAnsi="Inter" w:cs="Calibri"/>
          <w:sz w:val="22"/>
          <w:szCs w:val="22"/>
        </w:rPr>
        <w:t>often</w:t>
      </w:r>
      <w:r w:rsidRPr="00524998">
        <w:rPr>
          <w:rFonts w:ascii="Inter" w:hAnsi="Inter" w:cs="Calibri"/>
          <w:sz w:val="22"/>
          <w:szCs w:val="22"/>
        </w:rPr>
        <w:t xml:space="preserve"> wish to incorporate life and/or professional experience into their studies</w:t>
      </w:r>
      <w:r w:rsidR="158FF966" w:rsidRPr="00524998">
        <w:rPr>
          <w:rFonts w:ascii="Inter" w:hAnsi="Inter" w:cs="Calibri"/>
          <w:sz w:val="22"/>
          <w:szCs w:val="22"/>
        </w:rPr>
        <w:t xml:space="preserve"> and</w:t>
      </w:r>
      <w:r w:rsidR="779D348C" w:rsidRPr="00524998">
        <w:rPr>
          <w:rFonts w:ascii="Inter" w:hAnsi="Inter" w:cs="Calibri"/>
          <w:sz w:val="22"/>
          <w:szCs w:val="22"/>
        </w:rPr>
        <w:t xml:space="preserve"> our</w:t>
      </w:r>
      <w:r w:rsidR="158FF966" w:rsidRPr="00524998">
        <w:rPr>
          <w:rFonts w:ascii="Inter" w:hAnsi="Inter" w:cs="Calibri"/>
          <w:sz w:val="22"/>
          <w:szCs w:val="22"/>
        </w:rPr>
        <w:t xml:space="preserve"> s</w:t>
      </w:r>
      <w:r w:rsidRPr="00524998">
        <w:rPr>
          <w:rFonts w:ascii="Inter" w:hAnsi="Inter" w:cs="Calibri"/>
          <w:sz w:val="22"/>
          <w:szCs w:val="22"/>
        </w:rPr>
        <w:t xml:space="preserve">upervisors play a fundamental role in guiding this process. </w:t>
      </w:r>
      <w:r w:rsidR="00F104C9" w:rsidRPr="00524998">
        <w:rPr>
          <w:rFonts w:ascii="Inter" w:hAnsi="Inter" w:cs="Calibri"/>
          <w:sz w:val="22"/>
          <w:szCs w:val="22"/>
        </w:rPr>
        <w:t>N</w:t>
      </w:r>
      <w:r w:rsidRPr="00524998">
        <w:rPr>
          <w:rFonts w:ascii="Inter" w:hAnsi="Inter" w:cs="Calibri"/>
          <w:sz w:val="22"/>
          <w:szCs w:val="22"/>
        </w:rPr>
        <w:t xml:space="preserve">on-academic sources of knowledge can </w:t>
      </w:r>
      <w:r w:rsidR="5513C3B3" w:rsidRPr="00524998">
        <w:rPr>
          <w:rFonts w:ascii="Inter" w:hAnsi="Inter" w:cs="Calibri"/>
          <w:sz w:val="22"/>
          <w:szCs w:val="22"/>
        </w:rPr>
        <w:t xml:space="preserve">sometimes </w:t>
      </w:r>
      <w:r w:rsidRPr="00524998">
        <w:rPr>
          <w:rFonts w:ascii="Inter" w:hAnsi="Inter" w:cs="Calibri"/>
          <w:sz w:val="22"/>
          <w:szCs w:val="22"/>
        </w:rPr>
        <w:t xml:space="preserve">be underappreciated within </w:t>
      </w:r>
      <w:r w:rsidR="00F55629" w:rsidRPr="00524998">
        <w:rPr>
          <w:rFonts w:ascii="Inter" w:hAnsi="Inter" w:cs="Calibri"/>
          <w:sz w:val="22"/>
          <w:szCs w:val="22"/>
        </w:rPr>
        <w:t>h</w:t>
      </w:r>
      <w:r w:rsidR="74159C38" w:rsidRPr="00524998">
        <w:rPr>
          <w:rFonts w:ascii="Inter" w:hAnsi="Inter" w:cs="Calibri"/>
          <w:sz w:val="22"/>
          <w:szCs w:val="22"/>
        </w:rPr>
        <w:t xml:space="preserve">igher </w:t>
      </w:r>
      <w:r w:rsidR="00F55629" w:rsidRPr="00524998">
        <w:rPr>
          <w:rFonts w:ascii="Inter" w:hAnsi="Inter" w:cs="Calibri"/>
          <w:sz w:val="22"/>
          <w:szCs w:val="22"/>
        </w:rPr>
        <w:t>e</w:t>
      </w:r>
      <w:r w:rsidR="74159C38" w:rsidRPr="00524998">
        <w:rPr>
          <w:rFonts w:ascii="Inter" w:hAnsi="Inter" w:cs="Calibri"/>
          <w:sz w:val="22"/>
          <w:szCs w:val="22"/>
        </w:rPr>
        <w:t>ducation</w:t>
      </w:r>
      <w:r w:rsidRPr="00524998">
        <w:rPr>
          <w:rFonts w:ascii="Inter" w:hAnsi="Inter" w:cs="Calibri"/>
          <w:sz w:val="22"/>
          <w:szCs w:val="22"/>
        </w:rPr>
        <w:t xml:space="preserve"> </w:t>
      </w:r>
      <w:r w:rsidR="00EA2522" w:rsidRPr="00524998">
        <w:rPr>
          <w:rFonts w:ascii="Inter" w:hAnsi="Inter" w:cs="Calibri"/>
          <w:sz w:val="22"/>
          <w:szCs w:val="22"/>
        </w:rPr>
        <w:t>i</w:t>
      </w:r>
      <w:r w:rsidRPr="00524998">
        <w:rPr>
          <w:rFonts w:ascii="Inter" w:hAnsi="Inter" w:cs="Calibri"/>
          <w:sz w:val="22"/>
          <w:szCs w:val="22"/>
        </w:rPr>
        <w:t xml:space="preserve">nstitutions (Dennis et al., 2024; </w:t>
      </w:r>
      <w:proofErr w:type="spellStart"/>
      <w:r w:rsidRPr="00524998">
        <w:rPr>
          <w:rFonts w:ascii="Inter" w:hAnsi="Inter" w:cs="Calibri"/>
          <w:sz w:val="22"/>
          <w:szCs w:val="22"/>
        </w:rPr>
        <w:t>Katartzi</w:t>
      </w:r>
      <w:proofErr w:type="spellEnd"/>
      <w:r w:rsidRPr="00524998">
        <w:rPr>
          <w:rFonts w:ascii="Inter" w:hAnsi="Inter" w:cs="Calibri"/>
          <w:sz w:val="22"/>
          <w:szCs w:val="22"/>
        </w:rPr>
        <w:t xml:space="preserve"> and Hayward)</w:t>
      </w:r>
      <w:r w:rsidR="00F104C9" w:rsidRPr="00524998">
        <w:rPr>
          <w:rFonts w:ascii="Inter" w:hAnsi="Inter" w:cs="Calibri"/>
          <w:sz w:val="22"/>
          <w:szCs w:val="22"/>
        </w:rPr>
        <w:t>; however,</w:t>
      </w:r>
      <w:r w:rsidR="00533051" w:rsidRPr="00524998">
        <w:rPr>
          <w:rFonts w:ascii="Inter" w:hAnsi="Inter" w:cs="Calibri"/>
          <w:sz w:val="22"/>
          <w:szCs w:val="22"/>
        </w:rPr>
        <w:t xml:space="preserve"> experience of practice can add huge value to integrating partners into a research project (if relevant)</w:t>
      </w:r>
      <w:r w:rsidR="00FA1D68" w:rsidRPr="00524998">
        <w:rPr>
          <w:rFonts w:ascii="Inter" w:hAnsi="Inter" w:cs="Calibri"/>
          <w:sz w:val="22"/>
          <w:szCs w:val="22"/>
        </w:rPr>
        <w:t>,</w:t>
      </w:r>
      <w:r w:rsidR="00533051" w:rsidRPr="00524998">
        <w:rPr>
          <w:rFonts w:ascii="Inter" w:hAnsi="Inter" w:cs="Calibri"/>
          <w:sz w:val="22"/>
          <w:szCs w:val="22"/>
        </w:rPr>
        <w:t xml:space="preserve"> and </w:t>
      </w:r>
      <w:r w:rsidR="00F104C9" w:rsidRPr="00524998">
        <w:rPr>
          <w:rFonts w:ascii="Inter" w:hAnsi="Inter" w:cs="Calibri"/>
          <w:sz w:val="22"/>
          <w:szCs w:val="22"/>
        </w:rPr>
        <w:t>contribute to</w:t>
      </w:r>
      <w:r w:rsidR="00533051" w:rsidRPr="00524998">
        <w:rPr>
          <w:rFonts w:ascii="Inter" w:hAnsi="Inter" w:cs="Calibri"/>
          <w:sz w:val="22"/>
          <w:szCs w:val="22"/>
        </w:rPr>
        <w:t xml:space="preserve"> the impact of the research. </w:t>
      </w:r>
      <w:r w:rsidR="00F104C9" w:rsidRPr="00524998">
        <w:rPr>
          <w:rFonts w:ascii="Inter" w:hAnsi="Inter" w:cs="Calibri"/>
          <w:sz w:val="22"/>
          <w:szCs w:val="22"/>
        </w:rPr>
        <w:t xml:space="preserve">Broadening the range of postgraduate student ages </w:t>
      </w:r>
      <w:r w:rsidR="00533051" w:rsidRPr="00524998">
        <w:rPr>
          <w:rFonts w:ascii="Inter" w:hAnsi="Inter" w:cs="Calibri"/>
          <w:sz w:val="22"/>
          <w:szCs w:val="22"/>
        </w:rPr>
        <w:t xml:space="preserve">within the </w:t>
      </w:r>
      <w:r w:rsidR="00CA5CB6" w:rsidRPr="00524998">
        <w:rPr>
          <w:rFonts w:ascii="Inter" w:hAnsi="Inter" w:cs="Calibri"/>
          <w:sz w:val="22"/>
          <w:szCs w:val="22"/>
        </w:rPr>
        <w:t>U</w:t>
      </w:r>
      <w:r w:rsidR="00533051" w:rsidRPr="00524998">
        <w:rPr>
          <w:rFonts w:ascii="Inter" w:hAnsi="Inter" w:cs="Calibri"/>
          <w:sz w:val="22"/>
          <w:szCs w:val="22"/>
        </w:rPr>
        <w:t xml:space="preserve">niversity </w:t>
      </w:r>
      <w:r w:rsidR="00F104C9" w:rsidRPr="00524998">
        <w:rPr>
          <w:rFonts w:ascii="Inter" w:hAnsi="Inter" w:cs="Calibri"/>
          <w:sz w:val="22"/>
          <w:szCs w:val="22"/>
        </w:rPr>
        <w:t>helps foster greater diversity, but requires us to</w:t>
      </w:r>
      <w:r w:rsidR="00533051" w:rsidRPr="00524998">
        <w:rPr>
          <w:rFonts w:ascii="Inter" w:hAnsi="Inter" w:cs="Calibri"/>
          <w:sz w:val="22"/>
          <w:szCs w:val="22"/>
        </w:rPr>
        <w:t xml:space="preserve"> </w:t>
      </w:r>
      <w:r w:rsidR="034EE4DE" w:rsidRPr="00524998">
        <w:rPr>
          <w:rFonts w:ascii="Inter" w:hAnsi="Inter" w:cs="Calibri"/>
          <w:sz w:val="22"/>
          <w:szCs w:val="22"/>
        </w:rPr>
        <w:t>recognis</w:t>
      </w:r>
      <w:r w:rsidR="00F104C9" w:rsidRPr="00524998">
        <w:rPr>
          <w:rFonts w:ascii="Inter" w:hAnsi="Inter" w:cs="Calibri"/>
          <w:sz w:val="22"/>
          <w:szCs w:val="22"/>
        </w:rPr>
        <w:t>e</w:t>
      </w:r>
      <w:r w:rsidR="034EE4DE" w:rsidRPr="00524998">
        <w:rPr>
          <w:rFonts w:ascii="Inter" w:hAnsi="Inter" w:cs="Calibri"/>
          <w:sz w:val="22"/>
          <w:szCs w:val="22"/>
        </w:rPr>
        <w:t xml:space="preserve"> the value of</w:t>
      </w:r>
      <w:r w:rsidR="00533051" w:rsidRPr="00524998">
        <w:rPr>
          <w:rFonts w:ascii="Inter" w:hAnsi="Inter" w:cs="Calibri"/>
          <w:sz w:val="22"/>
          <w:szCs w:val="22"/>
        </w:rPr>
        <w:t xml:space="preserve"> diverse forms of knowledge and experience. It is important to adapt the educational environment to ensure that mature PGRs have a rewarding experience and feel a genuine sense of belonging. </w:t>
      </w:r>
    </w:p>
    <w:p w14:paraId="2AD48FAE" w14:textId="3B471AD9" w:rsidR="006A4D04" w:rsidRPr="00524998" w:rsidRDefault="52A0D200" w:rsidP="001F50A2">
      <w:pPr>
        <w:spacing w:before="240"/>
        <w:rPr>
          <w:rFonts w:ascii="Inter" w:eastAsia="Calibri" w:hAnsi="Inter" w:cs="Calibri"/>
          <w:color w:val="333333"/>
          <w:sz w:val="22"/>
          <w:szCs w:val="22"/>
        </w:rPr>
      </w:pPr>
      <w:r w:rsidRPr="00524998">
        <w:rPr>
          <w:rFonts w:ascii="Inter" w:hAnsi="Inter" w:cs="Calibri"/>
          <w:sz w:val="22"/>
          <w:szCs w:val="22"/>
        </w:rPr>
        <w:t>We know from our work with mature PGRs that</w:t>
      </w:r>
      <w:r w:rsidR="69963F9A" w:rsidRPr="00524998">
        <w:rPr>
          <w:rFonts w:ascii="Inter" w:hAnsi="Inter" w:cs="Calibri"/>
          <w:sz w:val="22"/>
          <w:szCs w:val="22"/>
        </w:rPr>
        <w:t xml:space="preserve"> </w:t>
      </w:r>
      <w:r w:rsidR="0762BFB4" w:rsidRPr="00524998">
        <w:rPr>
          <w:rFonts w:ascii="Inter" w:hAnsi="Inter" w:cs="Calibri"/>
          <w:sz w:val="22"/>
          <w:szCs w:val="22"/>
        </w:rPr>
        <w:t>d</w:t>
      </w:r>
      <w:r w:rsidR="00533051" w:rsidRPr="00524998">
        <w:rPr>
          <w:rFonts w:ascii="Inter" w:hAnsi="Inter" w:cs="Calibri"/>
          <w:sz w:val="22"/>
          <w:szCs w:val="22"/>
        </w:rPr>
        <w:t xml:space="preserve">ismissing the professional or </w:t>
      </w:r>
      <w:r w:rsidR="00CC1EAB" w:rsidRPr="00524998">
        <w:rPr>
          <w:rFonts w:ascii="Inter" w:hAnsi="Inter" w:cs="Calibri"/>
          <w:sz w:val="22"/>
          <w:szCs w:val="22"/>
        </w:rPr>
        <w:t>l</w:t>
      </w:r>
      <w:r w:rsidR="00533051" w:rsidRPr="00524998">
        <w:rPr>
          <w:rFonts w:ascii="Inter" w:hAnsi="Inter" w:cs="Calibri"/>
          <w:sz w:val="22"/>
          <w:szCs w:val="22"/>
        </w:rPr>
        <w:t xml:space="preserve">ife experiences, skills, and knowledge that </w:t>
      </w:r>
      <w:r w:rsidR="26403CAE" w:rsidRPr="00524998">
        <w:rPr>
          <w:rFonts w:ascii="Inter" w:hAnsi="Inter" w:cs="Calibri"/>
          <w:sz w:val="22"/>
          <w:szCs w:val="22"/>
        </w:rPr>
        <w:t>they</w:t>
      </w:r>
      <w:r w:rsidR="00533051" w:rsidRPr="00524998">
        <w:rPr>
          <w:rFonts w:ascii="Inter" w:hAnsi="Inter" w:cs="Calibri"/>
          <w:sz w:val="22"/>
          <w:szCs w:val="22"/>
        </w:rPr>
        <w:t xml:space="preserve"> bring</w:t>
      </w:r>
      <w:r w:rsidR="005A585C" w:rsidRPr="00524998">
        <w:rPr>
          <w:rFonts w:ascii="Inter" w:hAnsi="Inter" w:cs="Calibri"/>
          <w:sz w:val="22"/>
          <w:szCs w:val="22"/>
        </w:rPr>
        <w:t xml:space="preserve">, </w:t>
      </w:r>
      <w:r w:rsidR="00533051" w:rsidRPr="00524998">
        <w:rPr>
          <w:rFonts w:ascii="Inter" w:hAnsi="Inter" w:cs="Calibri"/>
          <w:sz w:val="22"/>
          <w:szCs w:val="22"/>
        </w:rPr>
        <w:t>especially when they wish to incorporate these into their research</w:t>
      </w:r>
      <w:r w:rsidR="005A585C" w:rsidRPr="00524998">
        <w:rPr>
          <w:rFonts w:ascii="Inter" w:hAnsi="Inter" w:cs="Calibri"/>
          <w:sz w:val="22"/>
          <w:szCs w:val="22"/>
        </w:rPr>
        <w:t xml:space="preserve">, </w:t>
      </w:r>
      <w:r w:rsidR="00533051" w:rsidRPr="00524998">
        <w:rPr>
          <w:rFonts w:ascii="Inter" w:hAnsi="Inter" w:cs="Calibri"/>
          <w:sz w:val="22"/>
          <w:szCs w:val="22"/>
        </w:rPr>
        <w:t>can be particularly detrimental to their sense of belonging</w:t>
      </w:r>
      <w:r w:rsidR="00E128E5" w:rsidRPr="00524998">
        <w:rPr>
          <w:rFonts w:ascii="Inter" w:hAnsi="Inter" w:cs="Calibri"/>
          <w:sz w:val="22"/>
          <w:szCs w:val="22"/>
        </w:rPr>
        <w:t>.</w:t>
      </w:r>
      <w:r w:rsidR="68CBBC81" w:rsidRPr="00524998">
        <w:rPr>
          <w:rFonts w:ascii="Inter" w:hAnsi="Inter" w:cs="Calibri"/>
          <w:sz w:val="22"/>
          <w:szCs w:val="22"/>
        </w:rPr>
        <w:t xml:space="preserve"> </w:t>
      </w:r>
      <w:r w:rsidR="0005320A" w:rsidRPr="00524998">
        <w:rPr>
          <w:rFonts w:ascii="Inter" w:hAnsi="Inter" w:cs="Calibri"/>
          <w:b/>
          <w:bCs/>
          <w:sz w:val="22"/>
          <w:szCs w:val="22"/>
        </w:rPr>
        <w:t xml:space="preserve">Creating an inclusive atmosphere that values these contributions is essential for supporting all students. </w:t>
      </w:r>
    </w:p>
    <w:p w14:paraId="36A4D78A" w14:textId="27189674" w:rsidR="006A4D04" w:rsidRPr="00524998" w:rsidRDefault="03A50282" w:rsidP="001F50A2">
      <w:pPr>
        <w:rPr>
          <w:rFonts w:ascii="Inter" w:hAnsi="Inter" w:cs="Calibri"/>
          <w:sz w:val="22"/>
          <w:szCs w:val="22"/>
        </w:rPr>
      </w:pPr>
      <w:r w:rsidRPr="00524998">
        <w:rPr>
          <w:rFonts w:ascii="Inter" w:hAnsi="Inter" w:cs="Calibri"/>
          <w:sz w:val="22"/>
          <w:szCs w:val="22"/>
        </w:rPr>
        <w:t>P</w:t>
      </w:r>
      <w:r w:rsidR="08041F4B" w:rsidRPr="00524998">
        <w:rPr>
          <w:rFonts w:ascii="Inter" w:hAnsi="Inter" w:cs="Calibri"/>
          <w:sz w:val="22"/>
          <w:szCs w:val="22"/>
        </w:rPr>
        <w:t>o</w:t>
      </w:r>
      <w:r w:rsidRPr="00524998">
        <w:rPr>
          <w:rFonts w:ascii="Inter" w:hAnsi="Inter" w:cs="Calibri"/>
          <w:sz w:val="22"/>
          <w:szCs w:val="22"/>
        </w:rPr>
        <w:t xml:space="preserve">sitive experiences have been reported </w:t>
      </w:r>
      <w:r w:rsidR="73645D7C" w:rsidRPr="00524998">
        <w:rPr>
          <w:rFonts w:ascii="Inter" w:hAnsi="Inter" w:cs="Calibri"/>
          <w:sz w:val="22"/>
          <w:szCs w:val="22"/>
        </w:rPr>
        <w:t xml:space="preserve">by our mature PGRs </w:t>
      </w:r>
      <w:r w:rsidR="00EC430B" w:rsidRPr="00524998">
        <w:rPr>
          <w:rFonts w:ascii="Inter" w:hAnsi="Inter" w:cs="Calibri"/>
          <w:sz w:val="22"/>
          <w:szCs w:val="22"/>
        </w:rPr>
        <w:t>when supervisors</w:t>
      </w:r>
      <w:r w:rsidR="0005320A" w:rsidRPr="00524998">
        <w:rPr>
          <w:rFonts w:ascii="Inter" w:hAnsi="Inter" w:cs="Calibri"/>
          <w:sz w:val="22"/>
          <w:szCs w:val="22"/>
        </w:rPr>
        <w:t xml:space="preserve"> </w:t>
      </w:r>
      <w:r w:rsidR="344235F5" w:rsidRPr="00524998">
        <w:rPr>
          <w:rFonts w:ascii="Inter" w:hAnsi="Inter" w:cs="Calibri"/>
          <w:sz w:val="22"/>
          <w:szCs w:val="22"/>
        </w:rPr>
        <w:t>have</w:t>
      </w:r>
      <w:r w:rsidR="00E128E5" w:rsidRPr="00524998">
        <w:rPr>
          <w:rFonts w:ascii="Inter" w:hAnsi="Inter" w:cs="Calibri"/>
          <w:sz w:val="22"/>
          <w:szCs w:val="22"/>
        </w:rPr>
        <w:t xml:space="preserve"> taken time to understand their motivations for doing a PhD,</w:t>
      </w:r>
      <w:r w:rsidR="344235F5" w:rsidRPr="00524998">
        <w:rPr>
          <w:rFonts w:ascii="Inter" w:hAnsi="Inter" w:cs="Calibri"/>
          <w:sz w:val="22"/>
          <w:szCs w:val="22"/>
        </w:rPr>
        <w:t xml:space="preserve"> been </w:t>
      </w:r>
      <w:r w:rsidR="683935F3" w:rsidRPr="00524998">
        <w:rPr>
          <w:rFonts w:ascii="Inter" w:hAnsi="Inter" w:cs="Calibri"/>
          <w:sz w:val="22"/>
          <w:szCs w:val="22"/>
        </w:rPr>
        <w:t xml:space="preserve">open minded </w:t>
      </w:r>
      <w:r w:rsidR="4075A7C4" w:rsidRPr="00524998">
        <w:rPr>
          <w:rFonts w:ascii="Inter" w:hAnsi="Inter" w:cs="Calibri"/>
          <w:sz w:val="22"/>
          <w:szCs w:val="22"/>
        </w:rPr>
        <w:t>about the value that different types of knowledge can bring</w:t>
      </w:r>
      <w:r w:rsidR="00F7333F" w:rsidRPr="00524998">
        <w:rPr>
          <w:rFonts w:ascii="Inter" w:hAnsi="Inter" w:cs="Calibri"/>
          <w:sz w:val="22"/>
          <w:szCs w:val="22"/>
        </w:rPr>
        <w:t>,</w:t>
      </w:r>
      <w:r w:rsidR="4075A7C4" w:rsidRPr="00524998">
        <w:rPr>
          <w:rFonts w:ascii="Inter" w:hAnsi="Inter" w:cs="Calibri"/>
          <w:sz w:val="22"/>
          <w:szCs w:val="22"/>
        </w:rPr>
        <w:t xml:space="preserve"> </w:t>
      </w:r>
      <w:r w:rsidR="683935F3" w:rsidRPr="00524998">
        <w:rPr>
          <w:rFonts w:ascii="Inter" w:hAnsi="Inter" w:cs="Calibri"/>
          <w:sz w:val="22"/>
          <w:szCs w:val="22"/>
        </w:rPr>
        <w:t xml:space="preserve">and </w:t>
      </w:r>
      <w:r w:rsidR="728AF45D" w:rsidRPr="00524998">
        <w:rPr>
          <w:rFonts w:ascii="Inter" w:hAnsi="Inter" w:cs="Calibri"/>
          <w:sz w:val="22"/>
          <w:szCs w:val="22"/>
        </w:rPr>
        <w:t xml:space="preserve">when </w:t>
      </w:r>
      <w:r w:rsidR="10D4183E" w:rsidRPr="00524998">
        <w:rPr>
          <w:rFonts w:ascii="Inter" w:hAnsi="Inter" w:cs="Calibri"/>
          <w:sz w:val="22"/>
          <w:szCs w:val="22"/>
        </w:rPr>
        <w:t xml:space="preserve">both PGR and supervisor have </w:t>
      </w:r>
      <w:r w:rsidR="01B9A881" w:rsidRPr="00524998">
        <w:rPr>
          <w:rFonts w:ascii="Inter" w:hAnsi="Inter" w:cs="Calibri"/>
          <w:sz w:val="22"/>
          <w:szCs w:val="22"/>
        </w:rPr>
        <w:t>allow</w:t>
      </w:r>
      <w:r w:rsidR="167FB299" w:rsidRPr="00524998">
        <w:rPr>
          <w:rFonts w:ascii="Inter" w:hAnsi="Inter" w:cs="Calibri"/>
          <w:sz w:val="22"/>
          <w:szCs w:val="22"/>
        </w:rPr>
        <w:t>ed</w:t>
      </w:r>
      <w:r w:rsidR="00961DB7" w:rsidRPr="00524998">
        <w:rPr>
          <w:rFonts w:ascii="Inter" w:hAnsi="Inter" w:cs="Calibri"/>
          <w:sz w:val="22"/>
          <w:szCs w:val="22"/>
        </w:rPr>
        <w:t xml:space="preserve"> sufficient</w:t>
      </w:r>
      <w:r w:rsidR="01B9A881" w:rsidRPr="00524998">
        <w:rPr>
          <w:rFonts w:ascii="Inter" w:hAnsi="Inter" w:cs="Calibri"/>
          <w:sz w:val="22"/>
          <w:szCs w:val="22"/>
        </w:rPr>
        <w:t xml:space="preserve"> time for the complex</w:t>
      </w:r>
      <w:r w:rsidR="0005320A" w:rsidRPr="00524998">
        <w:rPr>
          <w:rFonts w:ascii="Inter" w:hAnsi="Inter" w:cs="Calibri"/>
          <w:sz w:val="22"/>
          <w:szCs w:val="22"/>
        </w:rPr>
        <w:t xml:space="preserve"> process of integrating diverse experiences and knowledge</w:t>
      </w:r>
      <w:r w:rsidR="2A3DEF04" w:rsidRPr="00524998">
        <w:rPr>
          <w:rFonts w:ascii="Inter" w:hAnsi="Inter" w:cs="Calibri"/>
          <w:sz w:val="22"/>
          <w:szCs w:val="22"/>
        </w:rPr>
        <w:t xml:space="preserve">. </w:t>
      </w:r>
    </w:p>
    <w:p w14:paraId="7C85E739" w14:textId="77777777" w:rsidR="00B72704" w:rsidRDefault="00A214DC" w:rsidP="00B72704">
      <w:pPr>
        <w:spacing w:before="240" w:after="0"/>
        <w:ind w:left="720"/>
        <w:jc w:val="center"/>
        <w:rPr>
          <w:rFonts w:ascii="Inter" w:hAnsi="Inter" w:cs="Calibri"/>
          <w:i/>
          <w:iCs/>
          <w:sz w:val="20"/>
          <w:szCs w:val="20"/>
        </w:rPr>
      </w:pPr>
      <w:r w:rsidRPr="00B72704">
        <w:rPr>
          <w:rFonts w:ascii="Inter" w:hAnsi="Inter" w:cs="Calibri"/>
          <w:sz w:val="20"/>
          <w:szCs w:val="20"/>
        </w:rPr>
        <w:t>I think there's a value in getting somebody in who's been working</w:t>
      </w:r>
      <w:r w:rsidR="0F6EF571" w:rsidRPr="00B72704">
        <w:rPr>
          <w:rFonts w:ascii="Inter" w:hAnsi="Inter" w:cs="Calibri"/>
          <w:sz w:val="20"/>
          <w:szCs w:val="20"/>
        </w:rPr>
        <w:t>...</w:t>
      </w:r>
      <w:r w:rsidRPr="00B72704">
        <w:rPr>
          <w:rFonts w:ascii="Inter" w:hAnsi="Inter" w:cs="Calibri"/>
          <w:sz w:val="20"/>
          <w:szCs w:val="20"/>
        </w:rPr>
        <w:t xml:space="preserve"> </w:t>
      </w:r>
      <w:r w:rsidR="00C93BC3" w:rsidRPr="00B72704">
        <w:rPr>
          <w:rFonts w:ascii="Inter" w:hAnsi="Inter" w:cs="Calibri"/>
          <w:sz w:val="20"/>
          <w:szCs w:val="20"/>
        </w:rPr>
        <w:t xml:space="preserve">I am </w:t>
      </w:r>
      <w:r w:rsidR="09730D1A" w:rsidRPr="00B72704">
        <w:rPr>
          <w:rFonts w:ascii="Inter" w:hAnsi="Inter" w:cs="Calibri"/>
          <w:sz w:val="20"/>
          <w:szCs w:val="20"/>
        </w:rPr>
        <w:t>more able</w:t>
      </w:r>
      <w:r w:rsidRPr="00B72704">
        <w:rPr>
          <w:rFonts w:ascii="Inter" w:hAnsi="Inter" w:cs="Calibri"/>
          <w:sz w:val="20"/>
          <w:szCs w:val="20"/>
        </w:rPr>
        <w:t xml:space="preserve"> to produce a piece of research that's </w:t>
      </w:r>
      <w:r w:rsidR="5BD26C3A" w:rsidRPr="00B72704">
        <w:rPr>
          <w:rFonts w:ascii="Inter" w:hAnsi="Inter" w:cs="Calibri"/>
          <w:sz w:val="20"/>
          <w:szCs w:val="20"/>
        </w:rPr>
        <w:t xml:space="preserve">actually addressing </w:t>
      </w:r>
      <w:r w:rsidRPr="00B72704">
        <w:rPr>
          <w:rFonts w:ascii="Inter" w:hAnsi="Inter" w:cs="Calibri"/>
          <w:sz w:val="20"/>
          <w:szCs w:val="20"/>
        </w:rPr>
        <w:t>a current issue within a field and that really needs to be resolved. I couldn't have done this straight out of uni. I wouldn't have even known where to start</w:t>
      </w:r>
      <w:r w:rsidR="00777928" w:rsidRPr="00B72704">
        <w:rPr>
          <w:rFonts w:ascii="Inter" w:hAnsi="Inter" w:cs="Calibri"/>
          <w:i/>
          <w:iCs/>
          <w:sz w:val="20"/>
          <w:szCs w:val="20"/>
        </w:rPr>
        <w:t xml:space="preserve"> </w:t>
      </w:r>
    </w:p>
    <w:p w14:paraId="6FB7B586" w14:textId="039DD0F3" w:rsidR="00A214DC" w:rsidRPr="00B72704" w:rsidRDefault="00B72704" w:rsidP="00B72704">
      <w:pPr>
        <w:spacing w:after="0"/>
        <w:ind w:left="720"/>
        <w:jc w:val="right"/>
        <w:rPr>
          <w:rFonts w:ascii="Inter" w:hAnsi="Inter" w:cs="Calibri"/>
          <w:i/>
          <w:iCs/>
          <w:sz w:val="20"/>
          <w:szCs w:val="20"/>
        </w:rPr>
      </w:pPr>
      <w:r>
        <w:rPr>
          <w:rFonts w:ascii="Inter" w:hAnsi="Inter" w:cs="Calibri"/>
          <w:i/>
          <w:iCs/>
          <w:sz w:val="20"/>
          <w:szCs w:val="20"/>
        </w:rPr>
        <w:t>3</w:t>
      </w:r>
      <w:r w:rsidR="00777928" w:rsidRPr="00B72704">
        <w:rPr>
          <w:rFonts w:ascii="Inter" w:hAnsi="Inter" w:cs="Calibri"/>
          <w:i/>
          <w:iCs/>
          <w:sz w:val="20"/>
          <w:szCs w:val="20"/>
        </w:rPr>
        <w:t>7-year-old PGR</w:t>
      </w:r>
    </w:p>
    <w:p w14:paraId="6C24E9F2" w14:textId="687F613B" w:rsidR="71C8350C" w:rsidRPr="00524998" w:rsidRDefault="006A4D04" w:rsidP="001F50A2">
      <w:pPr>
        <w:spacing w:before="240"/>
        <w:rPr>
          <w:rFonts w:ascii="Inter" w:eastAsia="Segoe UI" w:hAnsi="Inter" w:cs="Segoe UI"/>
          <w:color w:val="333333"/>
          <w:sz w:val="22"/>
          <w:szCs w:val="22"/>
        </w:rPr>
      </w:pPr>
      <w:r w:rsidRPr="00524998">
        <w:rPr>
          <w:rFonts w:ascii="Inter" w:hAnsi="Inter" w:cs="Calibri"/>
          <w:sz w:val="22"/>
          <w:szCs w:val="22"/>
        </w:rPr>
        <w:t xml:space="preserve">Disciplinary differences also influence this dynamic. For example, people from a wider range of careers tend to pursue PhDs in the arts and </w:t>
      </w:r>
      <w:r w:rsidR="53986D45" w:rsidRPr="00524998">
        <w:rPr>
          <w:rFonts w:ascii="Inter" w:hAnsi="Inter" w:cs="Calibri"/>
          <w:sz w:val="22"/>
          <w:szCs w:val="22"/>
        </w:rPr>
        <w:t xml:space="preserve">humanities than in other disciplines. For mature PGRs who are also studying a new discipline, </w:t>
      </w:r>
      <w:r w:rsidRPr="00524998">
        <w:rPr>
          <w:rFonts w:ascii="Inter" w:hAnsi="Inter" w:cs="Calibri"/>
          <w:sz w:val="22"/>
          <w:szCs w:val="22"/>
        </w:rPr>
        <w:t xml:space="preserve">the process of disciplinary </w:t>
      </w:r>
      <w:r w:rsidR="0FAFDDCF" w:rsidRPr="00524998">
        <w:rPr>
          <w:rFonts w:ascii="Inter" w:hAnsi="Inter" w:cs="Calibri"/>
          <w:sz w:val="22"/>
          <w:szCs w:val="22"/>
        </w:rPr>
        <w:t>familiarisation</w:t>
      </w:r>
      <w:r w:rsidRPr="00524998">
        <w:rPr>
          <w:rFonts w:ascii="Inter" w:hAnsi="Inter" w:cs="Calibri"/>
          <w:sz w:val="22"/>
          <w:szCs w:val="22"/>
        </w:rPr>
        <w:t xml:space="preserve"> and integration can take longer</w:t>
      </w:r>
      <w:r w:rsidR="00B0329E" w:rsidRPr="00524998">
        <w:rPr>
          <w:rFonts w:ascii="Inter" w:hAnsi="Inter" w:cs="Calibri"/>
          <w:sz w:val="22"/>
          <w:szCs w:val="22"/>
        </w:rPr>
        <w:t xml:space="preserve"> and should be factored into discussions about </w:t>
      </w:r>
      <w:r w:rsidR="5A4DC59E" w:rsidRPr="00524998">
        <w:rPr>
          <w:rFonts w:ascii="Inter" w:hAnsi="Inter" w:cs="Calibri"/>
          <w:sz w:val="22"/>
          <w:szCs w:val="22"/>
        </w:rPr>
        <w:t>how prior knowledge and experience are recognised</w:t>
      </w:r>
      <w:r w:rsidR="003D2B6C" w:rsidRPr="00524998">
        <w:rPr>
          <w:rFonts w:ascii="Inter" w:hAnsi="Inter" w:cs="Calibri"/>
          <w:sz w:val="22"/>
          <w:szCs w:val="22"/>
        </w:rPr>
        <w:t>.</w:t>
      </w:r>
      <w:r w:rsidR="4D5818EC" w:rsidRPr="00524998">
        <w:rPr>
          <w:rFonts w:ascii="Inter" w:hAnsi="Inter" w:cs="Calibri"/>
          <w:sz w:val="22"/>
          <w:szCs w:val="22"/>
        </w:rPr>
        <w:t xml:space="preserve"> </w:t>
      </w:r>
      <w:r w:rsidR="0B277042" w:rsidRPr="00524998">
        <w:rPr>
          <w:rFonts w:ascii="Inter" w:hAnsi="Inter" w:cs="Calibri"/>
          <w:sz w:val="22"/>
          <w:szCs w:val="22"/>
        </w:rPr>
        <w:t>Not all prior experience will be relevant to postgraduate study, and supervisors also play an important role in explaining the ways in which academic research differs from what mature PGRs may have experienced previously. However, where prior experience can be recognised and incorporated, then</w:t>
      </w:r>
      <w:r w:rsidR="6608B220" w:rsidRPr="00524998">
        <w:rPr>
          <w:rFonts w:ascii="Inter" w:hAnsi="Inter" w:cs="Calibri"/>
          <w:sz w:val="22"/>
          <w:szCs w:val="22"/>
        </w:rPr>
        <w:t xml:space="preserve"> this can be beneficial for all</w:t>
      </w:r>
      <w:r w:rsidR="0B277042" w:rsidRPr="00524998">
        <w:rPr>
          <w:rFonts w:ascii="Inter" w:hAnsi="Inter" w:cs="Calibri"/>
          <w:sz w:val="22"/>
          <w:szCs w:val="22"/>
        </w:rPr>
        <w:t>.</w:t>
      </w:r>
    </w:p>
    <w:p w14:paraId="6F6811F2" w14:textId="6DA33A7E" w:rsidR="007310D9" w:rsidRPr="00524998" w:rsidRDefault="00DF7466" w:rsidP="00524998">
      <w:pPr>
        <w:pStyle w:val="Heading4"/>
        <w:rPr>
          <w:sz w:val="22"/>
          <w:szCs w:val="22"/>
        </w:rPr>
      </w:pPr>
      <w:r w:rsidRPr="00524998">
        <w:rPr>
          <w:sz w:val="22"/>
          <w:szCs w:val="22"/>
        </w:rPr>
        <w:t xml:space="preserve">Top </w:t>
      </w:r>
      <w:r w:rsidR="00A17888" w:rsidRPr="00524998">
        <w:rPr>
          <w:sz w:val="22"/>
          <w:szCs w:val="22"/>
        </w:rPr>
        <w:t>t</w:t>
      </w:r>
      <w:r w:rsidRPr="00524998">
        <w:rPr>
          <w:sz w:val="22"/>
          <w:szCs w:val="22"/>
        </w:rPr>
        <w:t xml:space="preserve">ips </w:t>
      </w:r>
      <w:r w:rsidR="000D3CE5" w:rsidRPr="00524998">
        <w:rPr>
          <w:sz w:val="22"/>
          <w:szCs w:val="22"/>
        </w:rPr>
        <w:t>from</w:t>
      </w:r>
      <w:r w:rsidRPr="00524998">
        <w:rPr>
          <w:sz w:val="22"/>
          <w:szCs w:val="22"/>
        </w:rPr>
        <w:t xml:space="preserve"> </w:t>
      </w:r>
      <w:r w:rsidR="00A17888" w:rsidRPr="00524998">
        <w:rPr>
          <w:sz w:val="22"/>
          <w:szCs w:val="22"/>
        </w:rPr>
        <w:t>s</w:t>
      </w:r>
      <w:r w:rsidRPr="00524998">
        <w:rPr>
          <w:sz w:val="22"/>
          <w:szCs w:val="22"/>
        </w:rPr>
        <w:t>upervisors and PGRs</w:t>
      </w:r>
    </w:p>
    <w:p w14:paraId="005BFCD5" w14:textId="288B612E" w:rsidR="002F5301" w:rsidRPr="00524998" w:rsidRDefault="00F31B6C" w:rsidP="001F50A2">
      <w:pPr>
        <w:pStyle w:val="ListParagraph"/>
        <w:numPr>
          <w:ilvl w:val="0"/>
          <w:numId w:val="19"/>
        </w:numPr>
        <w:rPr>
          <w:rFonts w:ascii="Inter" w:hAnsi="Inter" w:cs="Calibri"/>
          <w:sz w:val="22"/>
          <w:szCs w:val="22"/>
        </w:rPr>
      </w:pPr>
      <w:r w:rsidRPr="00524998">
        <w:rPr>
          <w:rFonts w:ascii="Inter" w:hAnsi="Inter" w:cs="Calibri"/>
          <w:sz w:val="22"/>
          <w:szCs w:val="22"/>
        </w:rPr>
        <w:lastRenderedPageBreak/>
        <w:t xml:space="preserve">Take time to </w:t>
      </w:r>
      <w:r w:rsidR="004D0588" w:rsidRPr="00524998">
        <w:rPr>
          <w:rFonts w:ascii="Inter" w:hAnsi="Inter" w:cs="Calibri"/>
          <w:sz w:val="22"/>
          <w:szCs w:val="22"/>
        </w:rPr>
        <w:t xml:space="preserve">understand </w:t>
      </w:r>
      <w:r w:rsidR="00090D4D" w:rsidRPr="00524998">
        <w:rPr>
          <w:rFonts w:ascii="Inter" w:hAnsi="Inter" w:cs="Calibri"/>
          <w:sz w:val="22"/>
          <w:szCs w:val="22"/>
        </w:rPr>
        <w:t>motivations</w:t>
      </w:r>
      <w:r w:rsidR="00873DB7" w:rsidRPr="00524998">
        <w:rPr>
          <w:rFonts w:ascii="Inter" w:hAnsi="Inter" w:cs="Calibri"/>
          <w:sz w:val="22"/>
          <w:szCs w:val="22"/>
        </w:rPr>
        <w:t xml:space="preserve"> for doing a PhD</w:t>
      </w:r>
      <w:r w:rsidR="00090D4D" w:rsidRPr="00524998">
        <w:rPr>
          <w:rFonts w:ascii="Inter" w:hAnsi="Inter" w:cs="Calibri"/>
          <w:sz w:val="22"/>
          <w:szCs w:val="22"/>
        </w:rPr>
        <w:t xml:space="preserve"> </w:t>
      </w:r>
      <w:r w:rsidR="006F491D" w:rsidRPr="00524998">
        <w:rPr>
          <w:rFonts w:ascii="Inter" w:hAnsi="Inter" w:cs="Calibri"/>
          <w:sz w:val="22"/>
          <w:szCs w:val="22"/>
        </w:rPr>
        <w:t>and clarify</w:t>
      </w:r>
      <w:r w:rsidR="00090D4D" w:rsidRPr="00524998">
        <w:rPr>
          <w:rFonts w:ascii="Inter" w:hAnsi="Inter" w:cs="Calibri"/>
          <w:sz w:val="22"/>
          <w:szCs w:val="22"/>
        </w:rPr>
        <w:t xml:space="preserve"> </w:t>
      </w:r>
      <w:r w:rsidR="006771F5" w:rsidRPr="00524998">
        <w:rPr>
          <w:rFonts w:ascii="Inter" w:hAnsi="Inter" w:cs="Calibri"/>
          <w:sz w:val="22"/>
          <w:szCs w:val="22"/>
        </w:rPr>
        <w:t>expectations</w:t>
      </w:r>
      <w:r w:rsidR="008C53AB" w:rsidRPr="00524998">
        <w:rPr>
          <w:rFonts w:ascii="Inter" w:hAnsi="Inter" w:cs="Calibri"/>
          <w:sz w:val="22"/>
          <w:szCs w:val="22"/>
        </w:rPr>
        <w:t>.</w:t>
      </w:r>
    </w:p>
    <w:p w14:paraId="4626FC98" w14:textId="60A0969E" w:rsidR="007859B1" w:rsidRPr="00524998" w:rsidRDefault="007859B1" w:rsidP="001F50A2">
      <w:pPr>
        <w:pStyle w:val="ListParagraph"/>
        <w:numPr>
          <w:ilvl w:val="0"/>
          <w:numId w:val="19"/>
        </w:numPr>
        <w:rPr>
          <w:rFonts w:ascii="Inter" w:hAnsi="Inter" w:cs="Calibri"/>
          <w:sz w:val="22"/>
          <w:szCs w:val="22"/>
        </w:rPr>
      </w:pPr>
      <w:r w:rsidRPr="00524998">
        <w:rPr>
          <w:rFonts w:ascii="Inter" w:hAnsi="Inter" w:cs="Calibri"/>
          <w:sz w:val="22"/>
          <w:szCs w:val="22"/>
        </w:rPr>
        <w:t>Have open conversations about how</w:t>
      </w:r>
      <w:r w:rsidR="60FB6B0C" w:rsidRPr="00524998">
        <w:rPr>
          <w:rFonts w:ascii="Inter" w:hAnsi="Inter" w:cs="Calibri"/>
          <w:sz w:val="22"/>
          <w:szCs w:val="22"/>
        </w:rPr>
        <w:t xml:space="preserve"> </w:t>
      </w:r>
      <w:r w:rsidRPr="00524998">
        <w:rPr>
          <w:rFonts w:ascii="Inter" w:hAnsi="Inter" w:cs="Calibri"/>
          <w:sz w:val="22"/>
          <w:szCs w:val="22"/>
        </w:rPr>
        <w:t>acquisition of new knowledge</w:t>
      </w:r>
      <w:r w:rsidR="00B54F31" w:rsidRPr="00524998">
        <w:rPr>
          <w:rFonts w:ascii="Inter" w:hAnsi="Inter" w:cs="Calibri"/>
          <w:sz w:val="22"/>
          <w:szCs w:val="22"/>
        </w:rPr>
        <w:t xml:space="preserve"> and research practice</w:t>
      </w:r>
      <w:r w:rsidRPr="00524998">
        <w:rPr>
          <w:rFonts w:ascii="Inter" w:hAnsi="Inter" w:cs="Calibri"/>
          <w:sz w:val="22"/>
          <w:szCs w:val="22"/>
        </w:rPr>
        <w:t xml:space="preserve"> can be enhanced </w:t>
      </w:r>
      <w:r w:rsidR="00E74BCF" w:rsidRPr="00524998">
        <w:rPr>
          <w:rFonts w:ascii="Inter" w:hAnsi="Inter" w:cs="Calibri"/>
          <w:sz w:val="22"/>
          <w:szCs w:val="22"/>
        </w:rPr>
        <w:t xml:space="preserve">or integrated with </w:t>
      </w:r>
      <w:r w:rsidR="00260918" w:rsidRPr="00524998">
        <w:rPr>
          <w:rFonts w:ascii="Inter" w:hAnsi="Inter" w:cs="Calibri"/>
          <w:sz w:val="22"/>
          <w:szCs w:val="22"/>
        </w:rPr>
        <w:t>existing</w:t>
      </w:r>
      <w:r w:rsidR="6185751A" w:rsidRPr="00524998">
        <w:rPr>
          <w:rFonts w:ascii="Inter" w:hAnsi="Inter" w:cs="Calibri"/>
          <w:sz w:val="22"/>
          <w:szCs w:val="22"/>
        </w:rPr>
        <w:t xml:space="preserve"> </w:t>
      </w:r>
      <w:r w:rsidR="00E74BCF" w:rsidRPr="00524998">
        <w:rPr>
          <w:rFonts w:ascii="Inter" w:hAnsi="Inter" w:cs="Calibri"/>
          <w:sz w:val="22"/>
          <w:szCs w:val="22"/>
        </w:rPr>
        <w:t>knowledge of practice</w:t>
      </w:r>
      <w:r w:rsidR="001F6CD9" w:rsidRPr="00524998">
        <w:rPr>
          <w:rFonts w:ascii="Inter" w:hAnsi="Inter" w:cs="Calibri"/>
          <w:sz w:val="22"/>
          <w:szCs w:val="22"/>
        </w:rPr>
        <w:t xml:space="preserve"> </w:t>
      </w:r>
      <w:r w:rsidR="00A15114" w:rsidRPr="00524998">
        <w:rPr>
          <w:rFonts w:ascii="Inter" w:hAnsi="Inter" w:cs="Calibri"/>
          <w:sz w:val="22"/>
          <w:szCs w:val="22"/>
        </w:rPr>
        <w:t xml:space="preserve">and </w:t>
      </w:r>
      <w:r w:rsidR="00E74BCF" w:rsidRPr="00524998">
        <w:rPr>
          <w:rFonts w:ascii="Inter" w:hAnsi="Inter" w:cs="Calibri"/>
          <w:sz w:val="22"/>
          <w:szCs w:val="22"/>
        </w:rPr>
        <w:t>previous experience</w:t>
      </w:r>
      <w:r w:rsidR="008C53AB" w:rsidRPr="00524998">
        <w:rPr>
          <w:rFonts w:ascii="Inter" w:hAnsi="Inter" w:cs="Calibri"/>
          <w:sz w:val="22"/>
          <w:szCs w:val="22"/>
        </w:rPr>
        <w:t>.</w:t>
      </w:r>
    </w:p>
    <w:p w14:paraId="56DCD3A2" w14:textId="196D49C4" w:rsidR="006A4322" w:rsidRPr="00524998" w:rsidRDefault="000C53D1" w:rsidP="001F50A2">
      <w:pPr>
        <w:pStyle w:val="ListParagraph"/>
        <w:numPr>
          <w:ilvl w:val="0"/>
          <w:numId w:val="19"/>
        </w:numPr>
        <w:rPr>
          <w:rFonts w:ascii="Inter" w:hAnsi="Inter" w:cs="Calibri"/>
          <w:sz w:val="22"/>
          <w:szCs w:val="22"/>
        </w:rPr>
      </w:pPr>
      <w:r w:rsidRPr="00524998">
        <w:rPr>
          <w:rFonts w:ascii="Inter" w:hAnsi="Inter" w:cs="Calibri"/>
          <w:sz w:val="22"/>
          <w:szCs w:val="22"/>
        </w:rPr>
        <w:t>Take time to a</w:t>
      </w:r>
      <w:r w:rsidR="002F5301" w:rsidRPr="00524998">
        <w:rPr>
          <w:rFonts w:ascii="Inter" w:hAnsi="Inter" w:cs="Calibri"/>
          <w:sz w:val="22"/>
          <w:szCs w:val="22"/>
        </w:rPr>
        <w:t>ssess prior experience and refer to targeted training as needed</w:t>
      </w:r>
      <w:r w:rsidR="00524998" w:rsidRPr="00524998">
        <w:rPr>
          <w:rFonts w:ascii="Inter" w:hAnsi="Inter" w:cs="Calibri"/>
          <w:sz w:val="22"/>
          <w:szCs w:val="22"/>
        </w:rPr>
        <w:t>.</w:t>
      </w:r>
    </w:p>
    <w:p w14:paraId="587215FB" w14:textId="77777777" w:rsidR="00524998" w:rsidRPr="00524998" w:rsidRDefault="00524998" w:rsidP="00524998">
      <w:pPr>
        <w:pStyle w:val="ListParagraph"/>
        <w:jc w:val="both"/>
        <w:rPr>
          <w:rFonts w:ascii="Inter" w:hAnsi="Inter" w:cs="Calibri"/>
          <w:sz w:val="22"/>
          <w:szCs w:val="22"/>
        </w:rPr>
      </w:pPr>
    </w:p>
    <w:p w14:paraId="68A551FE" w14:textId="10B61F9B" w:rsidR="008B2B50" w:rsidRPr="00524998" w:rsidRDefault="008B2B50" w:rsidP="00524998">
      <w:pPr>
        <w:pStyle w:val="Heading3"/>
        <w:rPr>
          <w:sz w:val="22"/>
          <w:szCs w:val="22"/>
        </w:rPr>
      </w:pPr>
      <w:r w:rsidRPr="00524998">
        <w:rPr>
          <w:sz w:val="22"/>
          <w:szCs w:val="22"/>
        </w:rPr>
        <w:t>Role of the supervisor</w:t>
      </w:r>
      <w:r w:rsidR="00A15114" w:rsidRPr="00524998">
        <w:rPr>
          <w:sz w:val="22"/>
          <w:szCs w:val="22"/>
        </w:rPr>
        <w:t xml:space="preserve"> and </w:t>
      </w:r>
      <w:r w:rsidR="00A17888" w:rsidRPr="00524998">
        <w:rPr>
          <w:sz w:val="22"/>
          <w:szCs w:val="22"/>
        </w:rPr>
        <w:t>w</w:t>
      </w:r>
      <w:r w:rsidR="003D2B6C" w:rsidRPr="00524998">
        <w:rPr>
          <w:sz w:val="22"/>
          <w:szCs w:val="22"/>
        </w:rPr>
        <w:t>ays of working</w:t>
      </w:r>
    </w:p>
    <w:p w14:paraId="6C1399A3" w14:textId="6D63D91F" w:rsidR="000D0181" w:rsidRPr="00290470" w:rsidRDefault="008B2B50" w:rsidP="00290470">
      <w:pPr>
        <w:rPr>
          <w:rFonts w:ascii="Inter" w:hAnsi="Inter" w:cs="Calibri"/>
          <w:sz w:val="22"/>
          <w:szCs w:val="22"/>
        </w:rPr>
      </w:pPr>
      <w:r w:rsidRPr="00524998">
        <w:rPr>
          <w:rFonts w:ascii="Inter" w:hAnsi="Inter" w:cs="Calibri"/>
          <w:sz w:val="22"/>
          <w:szCs w:val="22"/>
        </w:rPr>
        <w:t xml:space="preserve">Challenges may arise </w:t>
      </w:r>
      <w:r w:rsidR="0EB49361" w:rsidRPr="00524998">
        <w:rPr>
          <w:rFonts w:ascii="Inter" w:hAnsi="Inter" w:cs="Calibri"/>
          <w:sz w:val="22"/>
          <w:szCs w:val="22"/>
        </w:rPr>
        <w:t xml:space="preserve">when expectations around supervisory support are misaligned. </w:t>
      </w:r>
      <w:r w:rsidR="49BCE79E" w:rsidRPr="00524998">
        <w:rPr>
          <w:rFonts w:ascii="Inter" w:hAnsi="Inter" w:cs="Calibri"/>
          <w:sz w:val="22"/>
          <w:szCs w:val="22"/>
        </w:rPr>
        <w:t>Some mature</w:t>
      </w:r>
      <w:r w:rsidRPr="00524998">
        <w:rPr>
          <w:rFonts w:ascii="Inter" w:hAnsi="Inter" w:cs="Calibri"/>
          <w:sz w:val="22"/>
          <w:szCs w:val="22"/>
        </w:rPr>
        <w:t xml:space="preserve"> PGRs </w:t>
      </w:r>
      <w:r w:rsidR="0C838CE2" w:rsidRPr="00524998">
        <w:rPr>
          <w:rFonts w:ascii="Inter" w:hAnsi="Inter" w:cs="Calibri"/>
          <w:sz w:val="22"/>
          <w:szCs w:val="22"/>
        </w:rPr>
        <w:t xml:space="preserve">with professional backgrounds may expect their supervisors to function like </w:t>
      </w:r>
      <w:r w:rsidRPr="00524998">
        <w:rPr>
          <w:rFonts w:ascii="Inter" w:hAnsi="Inter" w:cs="Calibri"/>
          <w:sz w:val="22"/>
          <w:szCs w:val="22"/>
        </w:rPr>
        <w:t>line manager</w:t>
      </w:r>
      <w:r w:rsidR="7110A10F" w:rsidRPr="00524998">
        <w:rPr>
          <w:rFonts w:ascii="Inter" w:hAnsi="Inter" w:cs="Calibri"/>
          <w:sz w:val="22"/>
          <w:szCs w:val="22"/>
        </w:rPr>
        <w:t>s</w:t>
      </w:r>
      <w:r w:rsidR="00494ED2" w:rsidRPr="00524998">
        <w:rPr>
          <w:rFonts w:ascii="Inter" w:hAnsi="Inter" w:cs="Calibri"/>
          <w:sz w:val="22"/>
          <w:szCs w:val="22"/>
        </w:rPr>
        <w:t xml:space="preserve"> </w:t>
      </w:r>
      <w:r w:rsidR="00494ED2" w:rsidRPr="00524998">
        <w:rPr>
          <w:rFonts w:ascii="Inter" w:hAnsi="Inter" w:cs="Calibri"/>
          <w:sz w:val="22"/>
          <w:szCs w:val="22"/>
        </w:rPr>
        <w:t xml:space="preserve">– </w:t>
      </w:r>
      <w:r w:rsidR="7110A10F" w:rsidRPr="00524998">
        <w:rPr>
          <w:rFonts w:ascii="Inter" w:hAnsi="Inter" w:cs="Calibri"/>
          <w:sz w:val="22"/>
          <w:szCs w:val="22"/>
        </w:rPr>
        <w:t xml:space="preserve">providing more </w:t>
      </w:r>
      <w:r w:rsidR="003053C4" w:rsidRPr="00524998">
        <w:rPr>
          <w:rFonts w:ascii="Inter" w:hAnsi="Inter" w:cs="Calibri"/>
          <w:sz w:val="22"/>
          <w:szCs w:val="22"/>
        </w:rPr>
        <w:t>direction, accountability</w:t>
      </w:r>
      <w:r w:rsidR="00BE202D" w:rsidRPr="00524998">
        <w:rPr>
          <w:rFonts w:ascii="Inter" w:hAnsi="Inter" w:cs="Calibri"/>
          <w:sz w:val="22"/>
          <w:szCs w:val="22"/>
        </w:rPr>
        <w:t xml:space="preserve">, </w:t>
      </w:r>
      <w:r w:rsidR="00CD3EC2" w:rsidRPr="00524998">
        <w:rPr>
          <w:rFonts w:ascii="Inter" w:hAnsi="Inter" w:cs="Calibri"/>
          <w:sz w:val="22"/>
          <w:szCs w:val="22"/>
        </w:rPr>
        <w:t xml:space="preserve">and </w:t>
      </w:r>
      <w:r w:rsidR="08C790F5" w:rsidRPr="00524998">
        <w:rPr>
          <w:rFonts w:ascii="Inter" w:hAnsi="Inter" w:cs="Calibri"/>
          <w:sz w:val="22"/>
          <w:szCs w:val="22"/>
        </w:rPr>
        <w:t xml:space="preserve">more defined </w:t>
      </w:r>
      <w:r w:rsidR="00CD3EC2" w:rsidRPr="00524998">
        <w:rPr>
          <w:rFonts w:ascii="Inter" w:hAnsi="Inter" w:cs="Calibri"/>
          <w:sz w:val="22"/>
          <w:szCs w:val="22"/>
        </w:rPr>
        <w:t>goals or targets</w:t>
      </w:r>
      <w:r w:rsidR="60B08600" w:rsidRPr="00524998">
        <w:rPr>
          <w:rFonts w:ascii="Inter" w:hAnsi="Inter" w:cs="Calibri"/>
          <w:sz w:val="22"/>
          <w:szCs w:val="22"/>
        </w:rPr>
        <w:t xml:space="preserve">. </w:t>
      </w:r>
      <w:r w:rsidR="682ADA0B" w:rsidRPr="00524998">
        <w:rPr>
          <w:rFonts w:ascii="Inter" w:hAnsi="Inter" w:cs="Calibri"/>
          <w:sz w:val="22"/>
          <w:szCs w:val="22"/>
        </w:rPr>
        <w:t>Some mature PGRs</w:t>
      </w:r>
      <w:r w:rsidR="60B08600" w:rsidRPr="00524998">
        <w:rPr>
          <w:rFonts w:ascii="Inter" w:hAnsi="Inter" w:cs="Calibri"/>
          <w:sz w:val="22"/>
          <w:szCs w:val="22"/>
        </w:rPr>
        <w:t xml:space="preserve"> may be </w:t>
      </w:r>
      <w:r w:rsidR="773FB123" w:rsidRPr="00524998">
        <w:rPr>
          <w:rFonts w:ascii="Inter" w:hAnsi="Inter" w:cs="Calibri"/>
          <w:sz w:val="22"/>
          <w:szCs w:val="22"/>
        </w:rPr>
        <w:t xml:space="preserve">less </w:t>
      </w:r>
      <w:r w:rsidR="00862E01" w:rsidRPr="00524998">
        <w:rPr>
          <w:rFonts w:ascii="Inter" w:hAnsi="Inter" w:cs="Calibri"/>
          <w:sz w:val="22"/>
          <w:szCs w:val="22"/>
        </w:rPr>
        <w:t xml:space="preserve">familiar with how </w:t>
      </w:r>
      <w:r w:rsidR="001F40DF" w:rsidRPr="00524998">
        <w:rPr>
          <w:rFonts w:ascii="Inter" w:hAnsi="Inter" w:cs="Calibri"/>
          <w:sz w:val="22"/>
          <w:szCs w:val="22"/>
        </w:rPr>
        <w:t>to develop specialist knowledge</w:t>
      </w:r>
      <w:r w:rsidR="00133C34" w:rsidRPr="00524998">
        <w:rPr>
          <w:rFonts w:ascii="Inter" w:hAnsi="Inter" w:cs="Calibri"/>
          <w:sz w:val="22"/>
          <w:szCs w:val="22"/>
        </w:rPr>
        <w:t xml:space="preserve"> independently</w:t>
      </w:r>
      <w:r w:rsidR="001F40DF" w:rsidRPr="00524998">
        <w:rPr>
          <w:rFonts w:ascii="Inter" w:hAnsi="Inter" w:cs="Calibri"/>
          <w:sz w:val="22"/>
          <w:szCs w:val="22"/>
        </w:rPr>
        <w:t>.</w:t>
      </w:r>
      <w:r w:rsidR="00B54ACE" w:rsidRPr="00524998">
        <w:rPr>
          <w:rFonts w:ascii="Inter" w:hAnsi="Inter" w:cs="Calibri"/>
          <w:sz w:val="22"/>
          <w:szCs w:val="22"/>
        </w:rPr>
        <w:t xml:space="preserve"> </w:t>
      </w:r>
    </w:p>
    <w:p w14:paraId="3591A365" w14:textId="12BA6737" w:rsidR="009F04EE" w:rsidRPr="00524998" w:rsidRDefault="008B2B50" w:rsidP="00290470">
      <w:pPr>
        <w:rPr>
          <w:rFonts w:ascii="Inter" w:hAnsi="Inter" w:cs="Calibri"/>
          <w:sz w:val="22"/>
          <w:szCs w:val="22"/>
        </w:rPr>
      </w:pPr>
      <w:r w:rsidRPr="00524998">
        <w:rPr>
          <w:rFonts w:ascii="Inter" w:hAnsi="Inter" w:cs="Calibri"/>
          <w:sz w:val="22"/>
          <w:szCs w:val="22"/>
        </w:rPr>
        <w:t xml:space="preserve">This is further complicated by the diverse styles of line management practised in </w:t>
      </w:r>
      <w:r w:rsidR="002C35F8" w:rsidRPr="00524998">
        <w:rPr>
          <w:rFonts w:ascii="Inter" w:hAnsi="Inter" w:cs="Calibri"/>
          <w:sz w:val="22"/>
          <w:szCs w:val="22"/>
        </w:rPr>
        <w:t>higher education</w:t>
      </w:r>
      <w:r w:rsidRPr="00524998">
        <w:rPr>
          <w:rFonts w:ascii="Inter" w:hAnsi="Inter" w:cs="Calibri"/>
          <w:sz w:val="22"/>
          <w:szCs w:val="22"/>
        </w:rPr>
        <w:t>.</w:t>
      </w:r>
      <w:r w:rsidR="003A4F84" w:rsidRPr="00524998">
        <w:rPr>
          <w:rFonts w:ascii="Inter" w:hAnsi="Inter" w:cs="Calibri"/>
          <w:sz w:val="22"/>
          <w:szCs w:val="22"/>
        </w:rPr>
        <w:t xml:space="preserve"> </w:t>
      </w:r>
      <w:r w:rsidR="00737E04" w:rsidRPr="00524998">
        <w:rPr>
          <w:rFonts w:ascii="Inter" w:hAnsi="Inter" w:cs="Calibri"/>
          <w:sz w:val="22"/>
          <w:szCs w:val="22"/>
        </w:rPr>
        <w:t>The relationship between academics and their line managers differs from that in other professional contexts, with meetings occurring less frequently and line managers having limited input or oversight regarding academic research</w:t>
      </w:r>
      <w:r w:rsidR="003A4F84" w:rsidRPr="00524998">
        <w:rPr>
          <w:rFonts w:ascii="Inter" w:hAnsi="Inter" w:cs="Calibri"/>
          <w:sz w:val="22"/>
          <w:szCs w:val="22"/>
        </w:rPr>
        <w:t>.</w:t>
      </w:r>
      <w:r w:rsidRPr="00524998">
        <w:rPr>
          <w:rFonts w:ascii="Inter" w:hAnsi="Inter" w:cs="Calibri"/>
          <w:sz w:val="22"/>
          <w:szCs w:val="22"/>
        </w:rPr>
        <w:t xml:space="preserve"> </w:t>
      </w:r>
      <w:r w:rsidR="57E45E1E" w:rsidRPr="00524998">
        <w:rPr>
          <w:rFonts w:ascii="Inter" w:hAnsi="Inter" w:cs="Calibri"/>
          <w:sz w:val="22"/>
          <w:szCs w:val="22"/>
        </w:rPr>
        <w:t>S</w:t>
      </w:r>
      <w:r w:rsidRPr="00524998">
        <w:rPr>
          <w:rFonts w:ascii="Inter" w:hAnsi="Inter" w:cs="Calibri"/>
          <w:sz w:val="22"/>
          <w:szCs w:val="22"/>
        </w:rPr>
        <w:t>upervisors who have</w:t>
      </w:r>
      <w:r w:rsidR="6910D789" w:rsidRPr="00524998">
        <w:rPr>
          <w:rFonts w:ascii="Inter" w:hAnsi="Inter" w:cs="Calibri"/>
          <w:sz w:val="22"/>
          <w:szCs w:val="22"/>
        </w:rPr>
        <w:t xml:space="preserve"> limited experience outside </w:t>
      </w:r>
      <w:r w:rsidR="5F4D348D" w:rsidRPr="00524998">
        <w:rPr>
          <w:rFonts w:ascii="Inter" w:hAnsi="Inter" w:cs="Calibri"/>
          <w:sz w:val="22"/>
          <w:szCs w:val="22"/>
        </w:rPr>
        <w:t xml:space="preserve">of </w:t>
      </w:r>
      <w:r w:rsidR="002C35F8" w:rsidRPr="00524998">
        <w:rPr>
          <w:rFonts w:ascii="Inter" w:hAnsi="Inter" w:cs="Calibri"/>
          <w:sz w:val="22"/>
          <w:szCs w:val="22"/>
        </w:rPr>
        <w:t>higher education</w:t>
      </w:r>
      <w:r w:rsidRPr="00524998">
        <w:rPr>
          <w:rFonts w:ascii="Inter" w:hAnsi="Inter" w:cs="Calibri"/>
          <w:sz w:val="22"/>
          <w:szCs w:val="22"/>
        </w:rPr>
        <w:t xml:space="preserve"> may be unaware of the </w:t>
      </w:r>
      <w:r w:rsidR="5286E66C" w:rsidRPr="00524998">
        <w:rPr>
          <w:rFonts w:ascii="Inter" w:hAnsi="Inter" w:cs="Calibri"/>
          <w:sz w:val="22"/>
          <w:szCs w:val="22"/>
        </w:rPr>
        <w:t xml:space="preserve">management styles which </w:t>
      </w:r>
      <w:r w:rsidRPr="00524998">
        <w:rPr>
          <w:rFonts w:ascii="Inter" w:hAnsi="Inter" w:cs="Calibri"/>
          <w:sz w:val="22"/>
          <w:szCs w:val="22"/>
        </w:rPr>
        <w:t>mature PGRs</w:t>
      </w:r>
      <w:r w:rsidR="00906805" w:rsidRPr="00524998">
        <w:rPr>
          <w:rFonts w:ascii="Inter" w:hAnsi="Inter" w:cs="Calibri"/>
          <w:sz w:val="22"/>
          <w:szCs w:val="22"/>
        </w:rPr>
        <w:t xml:space="preserve"> may have experienced</w:t>
      </w:r>
      <w:r w:rsidR="003E3F0F" w:rsidRPr="00524998">
        <w:rPr>
          <w:rFonts w:ascii="Inter" w:hAnsi="Inter" w:cs="Calibri"/>
          <w:sz w:val="22"/>
          <w:szCs w:val="22"/>
        </w:rPr>
        <w:t xml:space="preserve"> in </w:t>
      </w:r>
      <w:r w:rsidR="00572FA7" w:rsidRPr="00524998">
        <w:rPr>
          <w:rFonts w:ascii="Inter" w:hAnsi="Inter" w:cs="Calibri"/>
          <w:sz w:val="22"/>
          <w:szCs w:val="22"/>
        </w:rPr>
        <w:t xml:space="preserve">other </w:t>
      </w:r>
      <w:r w:rsidR="1BD264AE" w:rsidRPr="00524998">
        <w:rPr>
          <w:rFonts w:ascii="Inter" w:hAnsi="Inter" w:cs="Calibri"/>
          <w:sz w:val="22"/>
          <w:szCs w:val="22"/>
        </w:rPr>
        <w:t>sectors. Therefore,</w:t>
      </w:r>
      <w:r w:rsidR="6C76A596" w:rsidRPr="00524998">
        <w:rPr>
          <w:rFonts w:ascii="Inter" w:hAnsi="Inter" w:cs="Calibri"/>
          <w:sz w:val="22"/>
          <w:szCs w:val="22"/>
        </w:rPr>
        <w:t xml:space="preserve"> </w:t>
      </w:r>
      <w:r w:rsidR="6BD1DE9C" w:rsidRPr="00524998">
        <w:rPr>
          <w:rFonts w:ascii="Inter" w:hAnsi="Inter" w:cs="Calibri"/>
          <w:sz w:val="22"/>
          <w:szCs w:val="22"/>
        </w:rPr>
        <w:t xml:space="preserve">discussing and </w:t>
      </w:r>
      <w:r w:rsidR="15F58415" w:rsidRPr="00524998">
        <w:rPr>
          <w:rFonts w:ascii="Inter" w:hAnsi="Inter" w:cs="Calibri"/>
          <w:sz w:val="22"/>
          <w:szCs w:val="22"/>
        </w:rPr>
        <w:t xml:space="preserve">agreeing on </w:t>
      </w:r>
      <w:r w:rsidR="6C76A596" w:rsidRPr="00524998">
        <w:rPr>
          <w:rFonts w:ascii="Inter" w:hAnsi="Inter" w:cs="Calibri"/>
          <w:sz w:val="22"/>
          <w:szCs w:val="22"/>
        </w:rPr>
        <w:t>expectations</w:t>
      </w:r>
      <w:r w:rsidR="41D845CC" w:rsidRPr="00524998">
        <w:rPr>
          <w:rFonts w:ascii="Inter" w:hAnsi="Inter" w:cs="Calibri"/>
          <w:sz w:val="22"/>
          <w:szCs w:val="22"/>
        </w:rPr>
        <w:t xml:space="preserve"> for the student-supervisor relationship e</w:t>
      </w:r>
      <w:r w:rsidR="589135D6" w:rsidRPr="00524998">
        <w:rPr>
          <w:rFonts w:ascii="Inter" w:hAnsi="Inter" w:cs="Calibri"/>
          <w:sz w:val="22"/>
          <w:szCs w:val="22"/>
        </w:rPr>
        <w:t xml:space="preserve">arly on </w:t>
      </w:r>
      <w:r w:rsidR="013105FA" w:rsidRPr="00524998">
        <w:rPr>
          <w:rFonts w:ascii="Inter" w:hAnsi="Inter" w:cs="Calibri"/>
          <w:sz w:val="22"/>
          <w:szCs w:val="22"/>
        </w:rPr>
        <w:t>can be highly beneficial.</w:t>
      </w:r>
    </w:p>
    <w:p w14:paraId="163FFB28" w14:textId="4D63C009" w:rsidR="007E5646" w:rsidRPr="00290470" w:rsidRDefault="64552C1B" w:rsidP="00290470">
      <w:pPr>
        <w:rPr>
          <w:rFonts w:ascii="Inter" w:hAnsi="Inter" w:cs="Calibri"/>
          <w:b/>
          <w:bCs/>
          <w:sz w:val="22"/>
          <w:szCs w:val="22"/>
        </w:rPr>
      </w:pPr>
      <w:r w:rsidRPr="00524998">
        <w:rPr>
          <w:rFonts w:ascii="Inter" w:hAnsi="Inter" w:cs="Calibri"/>
          <w:sz w:val="22"/>
          <w:szCs w:val="22"/>
        </w:rPr>
        <w:t xml:space="preserve">Our data shows us that </w:t>
      </w:r>
      <w:r w:rsidR="1F3B90A1" w:rsidRPr="00524998">
        <w:rPr>
          <w:rFonts w:ascii="Inter" w:hAnsi="Inter" w:cs="Calibri"/>
          <w:sz w:val="22"/>
          <w:szCs w:val="22"/>
        </w:rPr>
        <w:t xml:space="preserve">a significant proportion of </w:t>
      </w:r>
      <w:r w:rsidRPr="00524998">
        <w:rPr>
          <w:rFonts w:ascii="Inter" w:hAnsi="Inter" w:cs="Calibri"/>
          <w:sz w:val="22"/>
          <w:szCs w:val="22"/>
        </w:rPr>
        <w:t>m</w:t>
      </w:r>
      <w:r w:rsidR="00844549" w:rsidRPr="00524998">
        <w:rPr>
          <w:rFonts w:ascii="Inter" w:hAnsi="Inter" w:cs="Calibri"/>
          <w:sz w:val="22"/>
          <w:szCs w:val="22"/>
        </w:rPr>
        <w:t xml:space="preserve">ature </w:t>
      </w:r>
      <w:r w:rsidR="566EE38E" w:rsidRPr="00524998">
        <w:rPr>
          <w:rFonts w:ascii="Inter" w:hAnsi="Inter" w:cs="Calibri"/>
          <w:sz w:val="22"/>
          <w:szCs w:val="22"/>
        </w:rPr>
        <w:t>PGRs undertake</w:t>
      </w:r>
      <w:r w:rsidR="08DC48D3" w:rsidRPr="00524998">
        <w:rPr>
          <w:rFonts w:ascii="Inter" w:hAnsi="Inter" w:cs="Calibri"/>
          <w:sz w:val="22"/>
          <w:szCs w:val="22"/>
        </w:rPr>
        <w:t xml:space="preserve"> </w:t>
      </w:r>
      <w:r w:rsidR="00844549" w:rsidRPr="00524998">
        <w:rPr>
          <w:rFonts w:ascii="Inter" w:hAnsi="Inter" w:cs="Calibri"/>
          <w:sz w:val="22"/>
          <w:szCs w:val="22"/>
        </w:rPr>
        <w:t>their programme part</w:t>
      </w:r>
      <w:r w:rsidR="00494ED2" w:rsidRPr="00524998">
        <w:rPr>
          <w:rFonts w:ascii="Inter" w:hAnsi="Inter" w:cs="Calibri"/>
          <w:sz w:val="22"/>
          <w:szCs w:val="22"/>
        </w:rPr>
        <w:t xml:space="preserve"> </w:t>
      </w:r>
      <w:r w:rsidR="00844549" w:rsidRPr="00524998">
        <w:rPr>
          <w:rFonts w:ascii="Inter" w:hAnsi="Inter" w:cs="Calibri"/>
          <w:sz w:val="22"/>
          <w:szCs w:val="22"/>
        </w:rPr>
        <w:t xml:space="preserve">time, and </w:t>
      </w:r>
      <w:r w:rsidR="38D12AC4" w:rsidRPr="00524998">
        <w:rPr>
          <w:rFonts w:ascii="Inter" w:hAnsi="Inter" w:cs="Calibri"/>
          <w:sz w:val="22"/>
          <w:szCs w:val="22"/>
        </w:rPr>
        <w:t xml:space="preserve">irrespective of mode of attendance, many </w:t>
      </w:r>
      <w:r w:rsidR="00844549" w:rsidRPr="00524998">
        <w:rPr>
          <w:rFonts w:ascii="Inter" w:hAnsi="Inter" w:cs="Calibri"/>
          <w:sz w:val="22"/>
          <w:szCs w:val="22"/>
        </w:rPr>
        <w:t>balance significant commitments outside their studies, including other sources of employment, caring and parental responsibilities.</w:t>
      </w:r>
      <w:r w:rsidR="00536687" w:rsidRPr="00524998">
        <w:rPr>
          <w:rFonts w:ascii="Inter" w:hAnsi="Inter" w:cs="Calibri"/>
          <w:sz w:val="22"/>
          <w:szCs w:val="22"/>
        </w:rPr>
        <w:t xml:space="preserve"> </w:t>
      </w:r>
      <w:r w:rsidR="006A4322" w:rsidRPr="00524998">
        <w:rPr>
          <w:rFonts w:ascii="Inter" w:hAnsi="Inter" w:cs="Calibri"/>
          <w:sz w:val="22"/>
          <w:szCs w:val="22"/>
        </w:rPr>
        <w:t>It’s</w:t>
      </w:r>
      <w:r w:rsidR="002F7C09" w:rsidRPr="00524998">
        <w:rPr>
          <w:rFonts w:ascii="Inter" w:hAnsi="Inter" w:cs="Calibri"/>
          <w:sz w:val="22"/>
          <w:szCs w:val="22"/>
        </w:rPr>
        <w:t xml:space="preserve"> important to understand how this may impact their studies </w:t>
      </w:r>
      <w:r w:rsidR="00494ED2" w:rsidRPr="00524998">
        <w:rPr>
          <w:rFonts w:ascii="Inter" w:hAnsi="Inter" w:cs="Calibri"/>
          <w:sz w:val="22"/>
          <w:szCs w:val="22"/>
        </w:rPr>
        <w:t>(</w:t>
      </w:r>
      <w:r w:rsidR="00A20EE4" w:rsidRPr="00524998">
        <w:rPr>
          <w:rFonts w:ascii="Inter" w:hAnsi="Inter" w:cs="Calibri"/>
          <w:sz w:val="22"/>
          <w:szCs w:val="22"/>
        </w:rPr>
        <w:t>for example</w:t>
      </w:r>
      <w:r w:rsidR="00E64298" w:rsidRPr="00524998">
        <w:rPr>
          <w:rFonts w:ascii="Inter" w:hAnsi="Inter" w:cs="Calibri"/>
          <w:sz w:val="22"/>
          <w:szCs w:val="22"/>
        </w:rPr>
        <w:t>,</w:t>
      </w:r>
      <w:r w:rsidR="002F7C09" w:rsidRPr="00524998">
        <w:rPr>
          <w:rFonts w:ascii="Inter" w:hAnsi="Inter" w:cs="Calibri"/>
          <w:sz w:val="22"/>
          <w:szCs w:val="22"/>
        </w:rPr>
        <w:t xml:space="preserve"> working pattern, availability</w:t>
      </w:r>
      <w:r w:rsidR="00494ED2" w:rsidRPr="00524998">
        <w:rPr>
          <w:rFonts w:ascii="Inter" w:hAnsi="Inter" w:cs="Calibri"/>
          <w:sz w:val="22"/>
          <w:szCs w:val="22"/>
        </w:rPr>
        <w:t>).</w:t>
      </w:r>
      <w:r w:rsidR="002F7C09" w:rsidRPr="00524998">
        <w:rPr>
          <w:rFonts w:ascii="Inter" w:hAnsi="Inter" w:cs="Calibri"/>
          <w:sz w:val="22"/>
          <w:szCs w:val="22"/>
        </w:rPr>
        <w:t xml:space="preserve"> </w:t>
      </w:r>
    </w:p>
    <w:p w14:paraId="74E6560C" w14:textId="277D1F95" w:rsidR="0059432A" w:rsidRPr="00524998" w:rsidRDefault="001C2273" w:rsidP="00290470">
      <w:pPr>
        <w:rPr>
          <w:rFonts w:ascii="Inter" w:hAnsi="Inter" w:cs="Calibri"/>
          <w:b/>
          <w:bCs/>
          <w:sz w:val="22"/>
          <w:szCs w:val="22"/>
        </w:rPr>
      </w:pPr>
      <w:r w:rsidRPr="00524998">
        <w:rPr>
          <w:rFonts w:ascii="Inter" w:hAnsi="Inter" w:cs="Calibri"/>
          <w:sz w:val="22"/>
          <w:szCs w:val="22"/>
        </w:rPr>
        <w:t xml:space="preserve">Mature PGR </w:t>
      </w:r>
      <w:r w:rsidR="00445064" w:rsidRPr="00524998">
        <w:rPr>
          <w:rFonts w:ascii="Inter" w:hAnsi="Inter" w:cs="Calibri"/>
          <w:sz w:val="22"/>
          <w:szCs w:val="22"/>
        </w:rPr>
        <w:t>students also</w:t>
      </w:r>
      <w:r w:rsidR="00015307" w:rsidRPr="00524998">
        <w:rPr>
          <w:rFonts w:ascii="Inter" w:hAnsi="Inter" w:cs="Calibri"/>
          <w:sz w:val="22"/>
          <w:szCs w:val="22"/>
        </w:rPr>
        <w:t xml:space="preserve"> report </w:t>
      </w:r>
      <w:r w:rsidR="083F80A5" w:rsidRPr="00524998">
        <w:rPr>
          <w:rFonts w:ascii="Inter" w:hAnsi="Inter" w:cs="Calibri"/>
          <w:sz w:val="22"/>
          <w:szCs w:val="22"/>
        </w:rPr>
        <w:t>f</w:t>
      </w:r>
      <w:r w:rsidR="00015307" w:rsidRPr="00524998">
        <w:rPr>
          <w:rFonts w:ascii="Inter" w:hAnsi="Inter" w:cs="Calibri"/>
          <w:sz w:val="22"/>
          <w:szCs w:val="22"/>
        </w:rPr>
        <w:t>eel</w:t>
      </w:r>
      <w:r w:rsidR="691711F7" w:rsidRPr="00524998">
        <w:rPr>
          <w:rFonts w:ascii="Inter" w:hAnsi="Inter" w:cs="Calibri"/>
          <w:sz w:val="22"/>
          <w:szCs w:val="22"/>
        </w:rPr>
        <w:t>ing</w:t>
      </w:r>
      <w:r w:rsidR="000B53D8" w:rsidRPr="00524998">
        <w:rPr>
          <w:rFonts w:ascii="Inter" w:hAnsi="Inter" w:cs="Calibri"/>
          <w:sz w:val="22"/>
          <w:szCs w:val="22"/>
        </w:rPr>
        <w:t xml:space="preserve"> unable to engage in </w:t>
      </w:r>
      <w:r w:rsidR="009C1976" w:rsidRPr="00524998">
        <w:rPr>
          <w:rFonts w:ascii="Inter" w:hAnsi="Inter" w:cs="Calibri"/>
          <w:sz w:val="22"/>
          <w:szCs w:val="22"/>
        </w:rPr>
        <w:t>U</w:t>
      </w:r>
      <w:r w:rsidR="000B53D8" w:rsidRPr="00524998">
        <w:rPr>
          <w:rFonts w:ascii="Inter" w:hAnsi="Inter" w:cs="Calibri"/>
          <w:sz w:val="22"/>
          <w:szCs w:val="22"/>
        </w:rPr>
        <w:t xml:space="preserve">niversity life in the same way as </w:t>
      </w:r>
      <w:r w:rsidR="00015307" w:rsidRPr="00524998">
        <w:rPr>
          <w:rFonts w:ascii="Inter" w:hAnsi="Inter" w:cs="Calibri"/>
          <w:sz w:val="22"/>
          <w:szCs w:val="22"/>
        </w:rPr>
        <w:t xml:space="preserve">other </w:t>
      </w:r>
      <w:r w:rsidR="000B53D8" w:rsidRPr="00524998">
        <w:rPr>
          <w:rFonts w:ascii="Inter" w:hAnsi="Inter" w:cs="Calibri"/>
          <w:sz w:val="22"/>
          <w:szCs w:val="22"/>
        </w:rPr>
        <w:t>students</w:t>
      </w:r>
      <w:r w:rsidR="00494ED2" w:rsidRPr="00524998">
        <w:rPr>
          <w:rFonts w:ascii="Inter" w:hAnsi="Inter" w:cs="Calibri"/>
          <w:sz w:val="22"/>
          <w:szCs w:val="22"/>
        </w:rPr>
        <w:t>,</w:t>
      </w:r>
      <w:r w:rsidR="00015C1A" w:rsidRPr="00524998">
        <w:rPr>
          <w:rFonts w:ascii="Inter" w:hAnsi="Inter" w:cs="Calibri"/>
          <w:sz w:val="22"/>
          <w:szCs w:val="22"/>
        </w:rPr>
        <w:t xml:space="preserve"> and can feel more isolated</w:t>
      </w:r>
      <w:r w:rsidR="00483F16" w:rsidRPr="00524998">
        <w:rPr>
          <w:rFonts w:ascii="Inter" w:hAnsi="Inter" w:cs="Calibri"/>
          <w:sz w:val="22"/>
          <w:szCs w:val="22"/>
        </w:rPr>
        <w:t>. T</w:t>
      </w:r>
      <w:r w:rsidR="004826CB" w:rsidRPr="00524998">
        <w:rPr>
          <w:rFonts w:ascii="Inter" w:hAnsi="Inter" w:cs="Calibri"/>
          <w:sz w:val="22"/>
          <w:szCs w:val="22"/>
        </w:rPr>
        <w:t>h</w:t>
      </w:r>
      <w:r w:rsidR="00F93A21" w:rsidRPr="00524998">
        <w:rPr>
          <w:rFonts w:ascii="Inter" w:hAnsi="Inter" w:cs="Calibri"/>
          <w:sz w:val="22"/>
          <w:szCs w:val="22"/>
        </w:rPr>
        <w:t>is</w:t>
      </w:r>
      <w:r w:rsidR="004826CB" w:rsidRPr="00524998">
        <w:rPr>
          <w:rFonts w:ascii="Inter" w:hAnsi="Inter" w:cs="Calibri"/>
          <w:sz w:val="22"/>
          <w:szCs w:val="22"/>
        </w:rPr>
        <w:t xml:space="preserve"> may be due to part</w:t>
      </w:r>
      <w:r w:rsidR="00494ED2" w:rsidRPr="00524998">
        <w:rPr>
          <w:rFonts w:ascii="Inter" w:hAnsi="Inter" w:cs="Calibri"/>
          <w:sz w:val="22"/>
          <w:szCs w:val="22"/>
        </w:rPr>
        <w:t>-</w:t>
      </w:r>
      <w:r w:rsidR="004826CB" w:rsidRPr="00524998">
        <w:rPr>
          <w:rFonts w:ascii="Inter" w:hAnsi="Inter" w:cs="Calibri"/>
          <w:sz w:val="22"/>
          <w:szCs w:val="22"/>
        </w:rPr>
        <w:t>time working, the age</w:t>
      </w:r>
      <w:r w:rsidR="00F93A21" w:rsidRPr="00524998">
        <w:rPr>
          <w:rFonts w:ascii="Inter" w:hAnsi="Inter" w:cs="Calibri"/>
          <w:sz w:val="22"/>
          <w:szCs w:val="22"/>
        </w:rPr>
        <w:t xml:space="preserve"> and interests of their peers, or </w:t>
      </w:r>
      <w:r w:rsidR="00C57A93" w:rsidRPr="00524998">
        <w:rPr>
          <w:rFonts w:ascii="Inter" w:hAnsi="Inter" w:cs="Calibri"/>
          <w:sz w:val="22"/>
          <w:szCs w:val="22"/>
        </w:rPr>
        <w:t>finding the transition from a collaborative workplace to individual study a challenge</w:t>
      </w:r>
      <w:r w:rsidR="00015C1A" w:rsidRPr="00524998">
        <w:rPr>
          <w:rFonts w:ascii="Inter" w:hAnsi="Inter" w:cs="Calibri"/>
          <w:sz w:val="22"/>
          <w:szCs w:val="22"/>
        </w:rPr>
        <w:t>. They may</w:t>
      </w:r>
      <w:r w:rsidR="009354B2" w:rsidRPr="00524998">
        <w:rPr>
          <w:rFonts w:ascii="Inter" w:hAnsi="Inter" w:cs="Calibri"/>
          <w:sz w:val="22"/>
          <w:szCs w:val="22"/>
        </w:rPr>
        <w:t xml:space="preserve"> miss out on building wider communities of support or being an active part of the </w:t>
      </w:r>
      <w:r w:rsidR="00494ED2" w:rsidRPr="00524998">
        <w:rPr>
          <w:rFonts w:ascii="Inter" w:hAnsi="Inter" w:cs="Calibri"/>
          <w:sz w:val="22"/>
          <w:szCs w:val="22"/>
        </w:rPr>
        <w:t>r</w:t>
      </w:r>
      <w:r w:rsidR="009354B2" w:rsidRPr="00524998">
        <w:rPr>
          <w:rFonts w:ascii="Inter" w:hAnsi="Inter" w:cs="Calibri"/>
          <w:sz w:val="22"/>
          <w:szCs w:val="22"/>
        </w:rPr>
        <w:t xml:space="preserve">esearch </w:t>
      </w:r>
      <w:r w:rsidR="00494ED2" w:rsidRPr="00524998">
        <w:rPr>
          <w:rFonts w:ascii="Inter" w:hAnsi="Inter" w:cs="Calibri"/>
          <w:sz w:val="22"/>
          <w:szCs w:val="22"/>
        </w:rPr>
        <w:t>e</w:t>
      </w:r>
      <w:r w:rsidR="009354B2" w:rsidRPr="00524998">
        <w:rPr>
          <w:rFonts w:ascii="Inter" w:hAnsi="Inter" w:cs="Calibri"/>
          <w:sz w:val="22"/>
          <w:szCs w:val="22"/>
        </w:rPr>
        <w:t>nvironment</w:t>
      </w:r>
      <w:r w:rsidR="000B53D8" w:rsidRPr="00524998">
        <w:rPr>
          <w:rFonts w:ascii="Inter" w:hAnsi="Inter" w:cs="Calibri"/>
          <w:sz w:val="22"/>
          <w:szCs w:val="22"/>
        </w:rPr>
        <w:t xml:space="preserve">. </w:t>
      </w:r>
      <w:r w:rsidR="00737E04" w:rsidRPr="00524998">
        <w:rPr>
          <w:rFonts w:ascii="Inter" w:hAnsi="Inter" w:cs="Calibri"/>
          <w:sz w:val="22"/>
          <w:szCs w:val="22"/>
        </w:rPr>
        <w:t>While events are offered for mature students, many are unable to attend due to significant life commitments</w:t>
      </w:r>
      <w:r w:rsidR="009D5252" w:rsidRPr="00524998">
        <w:rPr>
          <w:rFonts w:ascii="Inter" w:hAnsi="Inter" w:cs="Calibri"/>
          <w:sz w:val="22"/>
          <w:szCs w:val="22"/>
        </w:rPr>
        <w:t>, and/or living remotely from campus</w:t>
      </w:r>
      <w:r w:rsidR="00737E04" w:rsidRPr="00524998">
        <w:rPr>
          <w:rFonts w:ascii="Inter" w:hAnsi="Inter" w:cs="Calibri"/>
          <w:sz w:val="22"/>
          <w:szCs w:val="22"/>
        </w:rPr>
        <w:t>, so it is important to make existing events as inclusive as possible to accommodate their needs.</w:t>
      </w:r>
    </w:p>
    <w:p w14:paraId="5AE7EA4F" w14:textId="77777777" w:rsidR="00B72704" w:rsidRDefault="00E170D6" w:rsidP="00B72704">
      <w:pPr>
        <w:spacing w:after="0"/>
        <w:jc w:val="center"/>
        <w:rPr>
          <w:rFonts w:ascii="Inter" w:hAnsi="Inter" w:cs="Calibri"/>
          <w:i/>
          <w:iCs/>
          <w:sz w:val="20"/>
          <w:szCs w:val="20"/>
        </w:rPr>
      </w:pPr>
      <w:r w:rsidRPr="00B72704">
        <w:rPr>
          <w:rFonts w:ascii="Inter" w:hAnsi="Inter" w:cs="Calibri"/>
          <w:sz w:val="20"/>
          <w:szCs w:val="20"/>
        </w:rPr>
        <w:t>My supervisors are very helpful with advice, but it does feel very solo</w:t>
      </w:r>
      <w:r w:rsidRPr="00B72704">
        <w:rPr>
          <w:rFonts w:ascii="Inter" w:hAnsi="Inter" w:cs="Calibri"/>
          <w:i/>
          <w:iCs/>
          <w:sz w:val="20"/>
          <w:szCs w:val="20"/>
        </w:rPr>
        <w:t xml:space="preserve"> </w:t>
      </w:r>
    </w:p>
    <w:p w14:paraId="641D5336" w14:textId="0E14C473" w:rsidR="00E170D6" w:rsidRPr="00524998" w:rsidRDefault="00E170D6" w:rsidP="00B72704">
      <w:pPr>
        <w:jc w:val="right"/>
        <w:rPr>
          <w:rFonts w:ascii="Inter" w:hAnsi="Inter" w:cs="Calibri"/>
          <w:i/>
          <w:iCs/>
          <w:sz w:val="22"/>
          <w:szCs w:val="22"/>
        </w:rPr>
      </w:pPr>
      <w:r w:rsidRPr="00B72704">
        <w:rPr>
          <w:rFonts w:ascii="Inter" w:hAnsi="Inter" w:cs="Calibri"/>
          <w:i/>
          <w:iCs/>
          <w:sz w:val="20"/>
          <w:szCs w:val="20"/>
        </w:rPr>
        <w:t>70-year-old-PGR</w:t>
      </w:r>
    </w:p>
    <w:p w14:paraId="7E5F51B8" w14:textId="07A63B87" w:rsidR="00494ED2" w:rsidRPr="00524998" w:rsidRDefault="00494ED2" w:rsidP="00524998">
      <w:pPr>
        <w:spacing w:before="240" w:after="0"/>
        <w:jc w:val="center"/>
        <w:rPr>
          <w:rFonts w:ascii="Inter" w:hAnsi="Inter" w:cs="Calibri"/>
          <w:i/>
          <w:iCs/>
          <w:sz w:val="22"/>
          <w:szCs w:val="22"/>
        </w:rPr>
      </w:pPr>
      <w:r w:rsidRPr="00524998">
        <w:rPr>
          <w:rFonts w:ascii="Inter" w:hAnsi="Inter" w:cs="Calibri"/>
          <w:sz w:val="22"/>
          <w:szCs w:val="22"/>
        </w:rPr>
        <w:t>‘</w:t>
      </w:r>
      <w:r w:rsidR="00E170D6" w:rsidRPr="00524998">
        <w:rPr>
          <w:rFonts w:ascii="Inter" w:hAnsi="Inter" w:cs="Calibri"/>
          <w:sz w:val="22"/>
          <w:szCs w:val="22"/>
        </w:rPr>
        <w:t>I do think I must be one of the oldest PhD students ever, when I walk into a room when we all meet up it feels like that.</w:t>
      </w:r>
      <w:r w:rsidRPr="00524998">
        <w:rPr>
          <w:rFonts w:ascii="Inter" w:hAnsi="Inter" w:cs="Calibri"/>
          <w:sz w:val="22"/>
          <w:szCs w:val="22"/>
        </w:rPr>
        <w:t>’</w:t>
      </w:r>
      <w:r w:rsidR="00E170D6" w:rsidRPr="00524998">
        <w:rPr>
          <w:rFonts w:ascii="Inter" w:hAnsi="Inter" w:cs="Calibri"/>
          <w:i/>
          <w:iCs/>
          <w:sz w:val="22"/>
          <w:szCs w:val="22"/>
        </w:rPr>
        <w:t xml:space="preserve"> </w:t>
      </w:r>
      <w:r w:rsidRPr="00524998">
        <w:rPr>
          <w:rFonts w:ascii="Inter" w:hAnsi="Inter" w:cs="Calibri"/>
          <w:i/>
          <w:iCs/>
          <w:sz w:val="22"/>
          <w:szCs w:val="22"/>
        </w:rPr>
        <w:t>(</w:t>
      </w:r>
      <w:r w:rsidR="00E170D6" w:rsidRPr="00524998">
        <w:rPr>
          <w:rFonts w:ascii="Inter" w:hAnsi="Inter" w:cs="Calibri"/>
          <w:i/>
          <w:iCs/>
          <w:sz w:val="22"/>
          <w:szCs w:val="22"/>
        </w:rPr>
        <w:t>53-year-old PGR</w:t>
      </w:r>
      <w:r w:rsidRPr="00524998">
        <w:rPr>
          <w:rFonts w:ascii="Inter" w:hAnsi="Inter" w:cs="Calibri"/>
          <w:i/>
          <w:iCs/>
          <w:sz w:val="22"/>
          <w:szCs w:val="22"/>
        </w:rPr>
        <w:t>)</w:t>
      </w:r>
    </w:p>
    <w:p w14:paraId="1E3849A4" w14:textId="2BE27D6D" w:rsidR="00830E38" w:rsidRPr="00524998" w:rsidRDefault="000D3CE5" w:rsidP="00524998">
      <w:pPr>
        <w:pStyle w:val="Heading4"/>
        <w:rPr>
          <w:sz w:val="22"/>
          <w:szCs w:val="22"/>
        </w:rPr>
      </w:pPr>
      <w:r w:rsidRPr="00524998">
        <w:rPr>
          <w:sz w:val="22"/>
          <w:szCs w:val="22"/>
        </w:rPr>
        <w:t>Top Tips from Supervisors and PGRs</w:t>
      </w:r>
    </w:p>
    <w:p w14:paraId="4ABC3493" w14:textId="51EB6B8D" w:rsidR="0059432A" w:rsidRPr="00524998" w:rsidRDefault="00445064" w:rsidP="00A20EE4">
      <w:pPr>
        <w:pStyle w:val="ListParagraph"/>
        <w:numPr>
          <w:ilvl w:val="0"/>
          <w:numId w:val="24"/>
        </w:numPr>
        <w:spacing w:after="0"/>
        <w:jc w:val="both"/>
        <w:rPr>
          <w:rFonts w:ascii="Inter" w:hAnsi="Inter" w:cs="Calibri"/>
          <w:sz w:val="22"/>
          <w:szCs w:val="22"/>
        </w:rPr>
      </w:pPr>
      <w:r w:rsidRPr="00524998">
        <w:rPr>
          <w:rFonts w:ascii="Inter" w:hAnsi="Inter" w:cs="Calibri"/>
          <w:sz w:val="22"/>
          <w:szCs w:val="22"/>
        </w:rPr>
        <w:t>C</w:t>
      </w:r>
      <w:r w:rsidR="00261CB5" w:rsidRPr="00524998">
        <w:rPr>
          <w:rFonts w:ascii="Inter" w:hAnsi="Inter" w:cs="Calibri"/>
          <w:sz w:val="22"/>
          <w:szCs w:val="22"/>
        </w:rPr>
        <w:t>omplete the PGR</w:t>
      </w:r>
      <w:r w:rsidR="4EF244D9" w:rsidRPr="00524998">
        <w:rPr>
          <w:rFonts w:ascii="Inter" w:hAnsi="Inter" w:cs="Calibri"/>
          <w:sz w:val="22"/>
          <w:szCs w:val="22"/>
        </w:rPr>
        <w:t xml:space="preserve"> </w:t>
      </w:r>
      <w:hyperlink r:id="rId11">
        <w:r w:rsidR="617ECCE9" w:rsidRPr="00524998">
          <w:rPr>
            <w:rStyle w:val="Hyperlink"/>
            <w:rFonts w:ascii="Inter" w:hAnsi="Inter" w:cs="Calibri"/>
            <w:sz w:val="22"/>
            <w:szCs w:val="22"/>
          </w:rPr>
          <w:t>Student</w:t>
        </w:r>
        <w:r w:rsidR="00261CB5" w:rsidRPr="00524998">
          <w:rPr>
            <w:rStyle w:val="Hyperlink"/>
            <w:rFonts w:ascii="Inter" w:hAnsi="Inter" w:cs="Calibri"/>
            <w:sz w:val="22"/>
            <w:szCs w:val="22"/>
          </w:rPr>
          <w:t>-Supervisor agreement</w:t>
        </w:r>
      </w:hyperlink>
      <w:r w:rsidR="00261CB5" w:rsidRPr="00524998">
        <w:rPr>
          <w:rFonts w:ascii="Inter" w:hAnsi="Inter" w:cs="Calibri"/>
          <w:sz w:val="22"/>
          <w:szCs w:val="22"/>
        </w:rPr>
        <w:t xml:space="preserve"> – this is a tool to help discuss roles, ways of working and </w:t>
      </w:r>
      <w:r w:rsidR="00E652FA" w:rsidRPr="00524998">
        <w:rPr>
          <w:rFonts w:ascii="Inter" w:hAnsi="Inter" w:cs="Calibri"/>
          <w:sz w:val="22"/>
          <w:szCs w:val="22"/>
        </w:rPr>
        <w:t>set clear expectations</w:t>
      </w:r>
      <w:r w:rsidR="00494ED2" w:rsidRPr="00524998">
        <w:rPr>
          <w:rFonts w:ascii="Inter" w:hAnsi="Inter" w:cs="Calibri"/>
          <w:sz w:val="22"/>
          <w:szCs w:val="22"/>
        </w:rPr>
        <w:t>.</w:t>
      </w:r>
    </w:p>
    <w:p w14:paraId="37F48B27" w14:textId="7F3AAB26" w:rsidR="006A4D04" w:rsidRPr="00524998" w:rsidRDefault="00445064" w:rsidP="00A20EE4">
      <w:pPr>
        <w:pStyle w:val="ListParagraph"/>
        <w:numPr>
          <w:ilvl w:val="0"/>
          <w:numId w:val="24"/>
        </w:numPr>
        <w:spacing w:after="0"/>
        <w:jc w:val="both"/>
        <w:rPr>
          <w:rFonts w:ascii="Inter" w:hAnsi="Inter" w:cs="Calibri"/>
          <w:sz w:val="22"/>
          <w:szCs w:val="22"/>
        </w:rPr>
      </w:pPr>
      <w:r w:rsidRPr="00524998">
        <w:rPr>
          <w:rFonts w:ascii="Inter" w:hAnsi="Inter" w:cs="Calibri"/>
          <w:sz w:val="22"/>
          <w:szCs w:val="22"/>
        </w:rPr>
        <w:t>H</w:t>
      </w:r>
      <w:r w:rsidR="00E652FA" w:rsidRPr="00524998">
        <w:rPr>
          <w:rFonts w:ascii="Inter" w:hAnsi="Inter" w:cs="Calibri"/>
          <w:sz w:val="22"/>
          <w:szCs w:val="22"/>
        </w:rPr>
        <w:t xml:space="preserve">elp </w:t>
      </w:r>
      <w:r w:rsidR="45554B9A" w:rsidRPr="00524998">
        <w:rPr>
          <w:rFonts w:ascii="Inter" w:hAnsi="Inter" w:cs="Calibri"/>
          <w:sz w:val="22"/>
          <w:szCs w:val="22"/>
        </w:rPr>
        <w:t xml:space="preserve">signpost </w:t>
      </w:r>
      <w:r w:rsidR="00E652FA" w:rsidRPr="00524998">
        <w:rPr>
          <w:rFonts w:ascii="Inter" w:hAnsi="Inter" w:cs="Calibri"/>
          <w:sz w:val="22"/>
          <w:szCs w:val="22"/>
        </w:rPr>
        <w:t>connections with other mature PGR</w:t>
      </w:r>
      <w:r w:rsidR="00C2631E" w:rsidRPr="00524998">
        <w:rPr>
          <w:rFonts w:ascii="Inter" w:hAnsi="Inter" w:cs="Calibri"/>
          <w:sz w:val="22"/>
          <w:szCs w:val="22"/>
        </w:rPr>
        <w:t>s</w:t>
      </w:r>
      <w:r w:rsidR="00E652FA" w:rsidRPr="00524998">
        <w:rPr>
          <w:rFonts w:ascii="Inter" w:hAnsi="Inter" w:cs="Calibri"/>
          <w:sz w:val="22"/>
          <w:szCs w:val="22"/>
        </w:rPr>
        <w:t xml:space="preserve">, </w:t>
      </w:r>
      <w:r w:rsidR="006B3403" w:rsidRPr="00524998">
        <w:rPr>
          <w:rFonts w:ascii="Inter" w:hAnsi="Inter" w:cs="Calibri"/>
          <w:sz w:val="22"/>
          <w:szCs w:val="22"/>
        </w:rPr>
        <w:t xml:space="preserve">wider </w:t>
      </w:r>
      <w:r w:rsidR="00E652FA" w:rsidRPr="00524998">
        <w:rPr>
          <w:rFonts w:ascii="Inter" w:hAnsi="Inter" w:cs="Calibri"/>
          <w:sz w:val="22"/>
          <w:szCs w:val="22"/>
        </w:rPr>
        <w:t>research groups</w:t>
      </w:r>
      <w:r w:rsidR="006B3403" w:rsidRPr="00524998">
        <w:rPr>
          <w:rFonts w:ascii="Inter" w:hAnsi="Inter" w:cs="Calibri"/>
          <w:sz w:val="22"/>
          <w:szCs w:val="22"/>
        </w:rPr>
        <w:t xml:space="preserve"> or research networking opportunities</w:t>
      </w:r>
      <w:r w:rsidR="00E652FA" w:rsidRPr="00524998">
        <w:rPr>
          <w:rFonts w:ascii="Inter" w:hAnsi="Inter" w:cs="Calibri"/>
          <w:sz w:val="22"/>
          <w:szCs w:val="22"/>
        </w:rPr>
        <w:t xml:space="preserve">, or relevant community events, such as those organised by the </w:t>
      </w:r>
      <w:r w:rsidR="00A20EE4" w:rsidRPr="00524998">
        <w:rPr>
          <w:rFonts w:ascii="Inter" w:hAnsi="Inter" w:cs="Calibri"/>
          <w:sz w:val="22"/>
          <w:szCs w:val="22"/>
        </w:rPr>
        <w:t>Bristol Doctoral College (BDC),</w:t>
      </w:r>
      <w:r w:rsidR="00494ED2" w:rsidRPr="00524998">
        <w:rPr>
          <w:rFonts w:ascii="Inter" w:hAnsi="Inter" w:cs="Calibri"/>
          <w:sz w:val="22"/>
          <w:szCs w:val="22"/>
        </w:rPr>
        <w:t xml:space="preserve"> </w:t>
      </w:r>
      <w:r w:rsidR="00A20EE4" w:rsidRPr="00524998">
        <w:rPr>
          <w:rFonts w:ascii="Inter" w:hAnsi="Inter" w:cs="Calibri"/>
          <w:sz w:val="22"/>
          <w:szCs w:val="22"/>
        </w:rPr>
        <w:t>for example</w:t>
      </w:r>
      <w:r w:rsidR="00494ED2" w:rsidRPr="00524998">
        <w:rPr>
          <w:rFonts w:ascii="Inter" w:hAnsi="Inter" w:cs="Calibri"/>
          <w:sz w:val="22"/>
          <w:szCs w:val="22"/>
        </w:rPr>
        <w:t>,</w:t>
      </w:r>
      <w:r w:rsidR="00E652FA" w:rsidRPr="00524998">
        <w:rPr>
          <w:rFonts w:ascii="Inter" w:hAnsi="Inter" w:cs="Calibri"/>
          <w:sz w:val="22"/>
          <w:szCs w:val="22"/>
        </w:rPr>
        <w:t xml:space="preserve"> the BDC events calendar (</w:t>
      </w:r>
      <w:hyperlink r:id="rId12">
        <w:r w:rsidR="00E652FA" w:rsidRPr="00524998">
          <w:rPr>
            <w:rStyle w:val="Hyperlink"/>
            <w:rFonts w:ascii="Inter" w:hAnsi="Inter" w:cs="Calibri"/>
            <w:sz w:val="22"/>
            <w:szCs w:val="22"/>
          </w:rPr>
          <w:t>BDC events</w:t>
        </w:r>
      </w:hyperlink>
      <w:r w:rsidR="00E652FA" w:rsidRPr="00524998">
        <w:rPr>
          <w:rFonts w:ascii="Inter" w:hAnsi="Inter" w:cs="Calibri"/>
          <w:sz w:val="22"/>
          <w:szCs w:val="22"/>
        </w:rPr>
        <w:t>)</w:t>
      </w:r>
      <w:r w:rsidR="00FA1D68" w:rsidRPr="00524998">
        <w:rPr>
          <w:rFonts w:ascii="Inter" w:hAnsi="Inter" w:cs="Calibri"/>
          <w:sz w:val="22"/>
          <w:szCs w:val="22"/>
        </w:rPr>
        <w:t>,</w:t>
      </w:r>
      <w:r w:rsidR="745BCCB7" w:rsidRPr="00524998">
        <w:rPr>
          <w:rFonts w:ascii="Inter" w:hAnsi="Inter" w:cs="Calibri"/>
          <w:sz w:val="22"/>
          <w:szCs w:val="22"/>
        </w:rPr>
        <w:t xml:space="preserve"> </w:t>
      </w:r>
      <w:r w:rsidR="5FAB601C" w:rsidRPr="00524998">
        <w:rPr>
          <w:rFonts w:ascii="Inter" w:hAnsi="Inter" w:cs="Calibri"/>
          <w:sz w:val="22"/>
          <w:szCs w:val="22"/>
        </w:rPr>
        <w:t>including PGR</w:t>
      </w:r>
      <w:r w:rsidRPr="00524998">
        <w:rPr>
          <w:rFonts w:ascii="Inter" w:hAnsi="Inter" w:cs="Calibri"/>
          <w:sz w:val="22"/>
          <w:szCs w:val="22"/>
        </w:rPr>
        <w:t xml:space="preserve"> specific </w:t>
      </w:r>
      <w:hyperlink r:id="rId13">
        <w:r w:rsidR="758D0B76" w:rsidRPr="00524998">
          <w:rPr>
            <w:rStyle w:val="Hyperlink"/>
            <w:rFonts w:ascii="Inter" w:hAnsi="Inter" w:cs="Calibri"/>
            <w:sz w:val="22"/>
            <w:szCs w:val="22"/>
          </w:rPr>
          <w:t>networks</w:t>
        </w:r>
        <w:r w:rsidR="0D0D0DB7" w:rsidRPr="00524998">
          <w:rPr>
            <w:rStyle w:val="Hyperlink"/>
            <w:rFonts w:ascii="Inter" w:hAnsi="Inter" w:cs="Calibri"/>
            <w:sz w:val="22"/>
            <w:szCs w:val="22"/>
          </w:rPr>
          <w:t xml:space="preserve"> and clubs</w:t>
        </w:r>
      </w:hyperlink>
      <w:r w:rsidR="758D0B76" w:rsidRPr="00524998">
        <w:rPr>
          <w:rFonts w:ascii="Inter" w:hAnsi="Inter" w:cs="Calibri"/>
          <w:sz w:val="22"/>
          <w:szCs w:val="22"/>
        </w:rPr>
        <w:t xml:space="preserve">, </w:t>
      </w:r>
      <w:r w:rsidRPr="00524998">
        <w:rPr>
          <w:rFonts w:ascii="Inter" w:hAnsi="Inter" w:cs="Calibri"/>
          <w:sz w:val="22"/>
          <w:szCs w:val="22"/>
        </w:rPr>
        <w:t xml:space="preserve">training and social spaces, such as the </w:t>
      </w:r>
      <w:hyperlink r:id="rId14">
        <w:r w:rsidRPr="00524998">
          <w:rPr>
            <w:rStyle w:val="Hyperlink"/>
            <w:rFonts w:ascii="Inter" w:hAnsi="Inter" w:cs="Calibri"/>
            <w:sz w:val="22"/>
            <w:szCs w:val="22"/>
          </w:rPr>
          <w:t>PGR hub in Senate House</w:t>
        </w:r>
      </w:hyperlink>
      <w:r w:rsidRPr="00524998">
        <w:rPr>
          <w:rFonts w:ascii="Inter" w:hAnsi="Inter" w:cs="Calibri"/>
          <w:sz w:val="22"/>
          <w:szCs w:val="22"/>
        </w:rPr>
        <w:t xml:space="preserve">. </w:t>
      </w:r>
    </w:p>
    <w:p w14:paraId="4BB4180A" w14:textId="235423C6" w:rsidR="71C8350C" w:rsidRPr="00290470" w:rsidRDefault="71C8350C" w:rsidP="00290470">
      <w:pPr>
        <w:spacing w:after="0"/>
        <w:jc w:val="both"/>
        <w:rPr>
          <w:rFonts w:ascii="Inter" w:hAnsi="Inter" w:cs="Calibri"/>
          <w:sz w:val="22"/>
          <w:szCs w:val="22"/>
        </w:rPr>
      </w:pPr>
    </w:p>
    <w:p w14:paraId="05B854AB" w14:textId="6B3152F2" w:rsidR="000D3CE5" w:rsidRPr="00524998" w:rsidRDefault="00572FA7" w:rsidP="00524998">
      <w:pPr>
        <w:pStyle w:val="Heading3"/>
        <w:rPr>
          <w:sz w:val="22"/>
          <w:szCs w:val="22"/>
        </w:rPr>
      </w:pPr>
      <w:r w:rsidRPr="00524998">
        <w:rPr>
          <w:sz w:val="22"/>
          <w:szCs w:val="22"/>
        </w:rPr>
        <w:t xml:space="preserve">Returning to </w:t>
      </w:r>
      <w:r w:rsidR="00494ED2" w:rsidRPr="00524998">
        <w:rPr>
          <w:sz w:val="22"/>
          <w:szCs w:val="22"/>
        </w:rPr>
        <w:t>e</w:t>
      </w:r>
      <w:r w:rsidRPr="00524998">
        <w:rPr>
          <w:sz w:val="22"/>
          <w:szCs w:val="22"/>
        </w:rPr>
        <w:t>ducation</w:t>
      </w:r>
      <w:r w:rsidR="00A15114" w:rsidRPr="00524998">
        <w:rPr>
          <w:sz w:val="22"/>
          <w:szCs w:val="22"/>
        </w:rPr>
        <w:t xml:space="preserve"> and </w:t>
      </w:r>
      <w:r w:rsidR="00494ED2" w:rsidRPr="00524998">
        <w:rPr>
          <w:sz w:val="22"/>
          <w:szCs w:val="22"/>
        </w:rPr>
        <w:t>i</w:t>
      </w:r>
      <w:r w:rsidR="00EE6235" w:rsidRPr="00524998">
        <w:rPr>
          <w:sz w:val="22"/>
          <w:szCs w:val="22"/>
        </w:rPr>
        <w:t>nduction</w:t>
      </w:r>
      <w:r w:rsidRPr="00524998">
        <w:rPr>
          <w:sz w:val="22"/>
          <w:szCs w:val="22"/>
        </w:rPr>
        <w:t xml:space="preserve"> </w:t>
      </w:r>
    </w:p>
    <w:p w14:paraId="39FCEB81" w14:textId="728B9953" w:rsidR="00EE6235" w:rsidRPr="00524998" w:rsidRDefault="00E01976" w:rsidP="001F50A2">
      <w:pPr>
        <w:spacing w:before="240"/>
        <w:rPr>
          <w:rFonts w:ascii="Inter" w:hAnsi="Inter" w:cs="Calibri"/>
          <w:sz w:val="22"/>
          <w:szCs w:val="22"/>
        </w:rPr>
      </w:pPr>
      <w:r w:rsidRPr="00524998">
        <w:rPr>
          <w:rFonts w:ascii="Inter" w:hAnsi="Inter" w:cs="Calibri"/>
          <w:sz w:val="22"/>
          <w:szCs w:val="22"/>
        </w:rPr>
        <w:t xml:space="preserve">Having spent extensive time out of </w:t>
      </w:r>
      <w:r w:rsidR="002C35F8" w:rsidRPr="00524998">
        <w:rPr>
          <w:rFonts w:ascii="Inter" w:hAnsi="Inter" w:cs="Calibri"/>
          <w:sz w:val="22"/>
          <w:szCs w:val="22"/>
        </w:rPr>
        <w:t>higher education</w:t>
      </w:r>
      <w:r w:rsidR="002553DD" w:rsidRPr="00524998">
        <w:rPr>
          <w:rFonts w:ascii="Inter" w:hAnsi="Inter" w:cs="Calibri"/>
          <w:sz w:val="22"/>
          <w:szCs w:val="22"/>
        </w:rPr>
        <w:t xml:space="preserve">, </w:t>
      </w:r>
      <w:r w:rsidR="03F8000E" w:rsidRPr="00524998">
        <w:rPr>
          <w:rFonts w:ascii="Inter" w:hAnsi="Inter" w:cs="Calibri"/>
          <w:sz w:val="22"/>
          <w:szCs w:val="22"/>
        </w:rPr>
        <w:t xml:space="preserve">many </w:t>
      </w:r>
      <w:r w:rsidR="21FC589A" w:rsidRPr="00524998">
        <w:rPr>
          <w:rFonts w:ascii="Inter" w:hAnsi="Inter" w:cs="Calibri"/>
          <w:sz w:val="22"/>
          <w:szCs w:val="22"/>
        </w:rPr>
        <w:t xml:space="preserve">members of </w:t>
      </w:r>
      <w:r w:rsidR="2EAC9019" w:rsidRPr="00524998">
        <w:rPr>
          <w:rFonts w:ascii="Inter" w:hAnsi="Inter" w:cs="Calibri"/>
          <w:sz w:val="22"/>
          <w:szCs w:val="22"/>
        </w:rPr>
        <w:t xml:space="preserve">our mature PGR community </w:t>
      </w:r>
      <w:r w:rsidR="002553DD" w:rsidRPr="00524998">
        <w:rPr>
          <w:rFonts w:ascii="Inter" w:hAnsi="Inter" w:cs="Calibri"/>
          <w:sz w:val="22"/>
          <w:szCs w:val="22"/>
        </w:rPr>
        <w:t>articulate</w:t>
      </w:r>
      <w:r w:rsidR="40114D3F" w:rsidRPr="00524998">
        <w:rPr>
          <w:rFonts w:ascii="Inter" w:hAnsi="Inter" w:cs="Calibri"/>
          <w:sz w:val="22"/>
          <w:szCs w:val="22"/>
        </w:rPr>
        <w:t>d</w:t>
      </w:r>
      <w:r w:rsidR="00445064" w:rsidRPr="00524998">
        <w:rPr>
          <w:rFonts w:ascii="Inter" w:hAnsi="Inter" w:cs="Calibri"/>
          <w:sz w:val="22"/>
          <w:szCs w:val="22"/>
        </w:rPr>
        <w:t xml:space="preserve"> </w:t>
      </w:r>
      <w:r w:rsidRPr="00524998">
        <w:rPr>
          <w:rFonts w:ascii="Inter" w:hAnsi="Inter" w:cs="Calibri"/>
          <w:sz w:val="22"/>
          <w:szCs w:val="22"/>
        </w:rPr>
        <w:t xml:space="preserve">distinct feelings of disorientation and unfamiliarity </w:t>
      </w:r>
      <w:r w:rsidR="00DF2F00" w:rsidRPr="00524998">
        <w:rPr>
          <w:rFonts w:ascii="Inter" w:hAnsi="Inter" w:cs="Calibri"/>
          <w:sz w:val="22"/>
          <w:szCs w:val="22"/>
        </w:rPr>
        <w:t>with</w:t>
      </w:r>
      <w:r w:rsidRPr="00524998">
        <w:rPr>
          <w:rFonts w:ascii="Inter" w:hAnsi="Inter" w:cs="Calibri"/>
          <w:sz w:val="22"/>
          <w:szCs w:val="22"/>
        </w:rPr>
        <w:t xml:space="preserve"> their position within the </w:t>
      </w:r>
      <w:r w:rsidR="001C2E4B" w:rsidRPr="00524998">
        <w:rPr>
          <w:rFonts w:ascii="Inter" w:hAnsi="Inter" w:cs="Calibri"/>
          <w:sz w:val="22"/>
          <w:szCs w:val="22"/>
        </w:rPr>
        <w:t>U</w:t>
      </w:r>
      <w:r w:rsidRPr="00524998">
        <w:rPr>
          <w:rFonts w:ascii="Inter" w:hAnsi="Inter" w:cs="Calibri"/>
          <w:sz w:val="22"/>
          <w:szCs w:val="22"/>
        </w:rPr>
        <w:t xml:space="preserve">niversity and </w:t>
      </w:r>
      <w:r w:rsidR="00207FAF" w:rsidRPr="00524998">
        <w:rPr>
          <w:rFonts w:ascii="Inter" w:hAnsi="Inter" w:cs="Calibri"/>
          <w:sz w:val="22"/>
          <w:szCs w:val="22"/>
        </w:rPr>
        <w:t>s</w:t>
      </w:r>
      <w:r w:rsidRPr="00524998">
        <w:rPr>
          <w:rFonts w:ascii="Inter" w:hAnsi="Inter" w:cs="Calibri"/>
          <w:sz w:val="22"/>
          <w:szCs w:val="22"/>
        </w:rPr>
        <w:t xml:space="preserve">chool systems. </w:t>
      </w:r>
    </w:p>
    <w:p w14:paraId="0A0094B8" w14:textId="3F5A8187" w:rsidR="00B72704" w:rsidRDefault="5BD85030" w:rsidP="00B72704">
      <w:pPr>
        <w:spacing w:before="240" w:after="0"/>
        <w:jc w:val="center"/>
        <w:rPr>
          <w:rFonts w:ascii="Inter" w:hAnsi="Inter" w:cs="Calibri"/>
          <w:i/>
          <w:iCs/>
          <w:sz w:val="22"/>
          <w:szCs w:val="22"/>
          <w:highlight w:val="white"/>
          <w:lang w:val="en-US"/>
        </w:rPr>
      </w:pPr>
      <w:r w:rsidRPr="00B72704">
        <w:rPr>
          <w:rFonts w:ascii="Inter" w:hAnsi="Inter" w:cs="Calibri"/>
          <w:sz w:val="20"/>
          <w:szCs w:val="20"/>
          <w:highlight w:val="white"/>
          <w:lang w:val="en-US"/>
        </w:rPr>
        <w:t xml:space="preserve">For example, office hours. I didn’t know what office hours were. There’s no explanation of what office hours are or how best to use them, there's a whole load of things just like that. A lot of </w:t>
      </w:r>
      <w:r w:rsidRPr="00B72704">
        <w:rPr>
          <w:rFonts w:ascii="Inter" w:hAnsi="Inter" w:cs="Calibri"/>
          <w:sz w:val="20"/>
          <w:szCs w:val="20"/>
          <w:lang w:val="en-US"/>
        </w:rPr>
        <w:t>assum</w:t>
      </w:r>
      <w:r w:rsidRPr="00B72704">
        <w:rPr>
          <w:rFonts w:ascii="Inter" w:hAnsi="Inter" w:cs="Calibri"/>
          <w:sz w:val="20"/>
          <w:szCs w:val="20"/>
          <w:highlight w:val="white"/>
          <w:lang w:val="en-US"/>
        </w:rPr>
        <w:t>ptions are made, understandably, most people come through on research programs straight from undergraduate. They know how the system works</w:t>
      </w:r>
      <w:r w:rsidRPr="00524998">
        <w:rPr>
          <w:rFonts w:ascii="Inter" w:hAnsi="Inter" w:cs="Calibri"/>
          <w:i/>
          <w:iCs/>
          <w:sz w:val="22"/>
          <w:szCs w:val="22"/>
          <w:highlight w:val="white"/>
          <w:lang w:val="en-US"/>
        </w:rPr>
        <w:t xml:space="preserve"> </w:t>
      </w:r>
    </w:p>
    <w:p w14:paraId="4382BA4F" w14:textId="28778AB6" w:rsidR="00EE6235" w:rsidRPr="00B72704" w:rsidRDefault="5BD85030" w:rsidP="00B72704">
      <w:pPr>
        <w:jc w:val="right"/>
        <w:rPr>
          <w:rFonts w:ascii="Inter" w:hAnsi="Inter" w:cs="Calibri"/>
          <w:sz w:val="20"/>
          <w:szCs w:val="20"/>
        </w:rPr>
      </w:pPr>
      <w:r w:rsidRPr="00B72704">
        <w:rPr>
          <w:rFonts w:ascii="Inter" w:hAnsi="Inter" w:cs="Calibri"/>
          <w:i/>
          <w:iCs/>
          <w:sz w:val="20"/>
          <w:szCs w:val="20"/>
          <w:highlight w:val="white"/>
          <w:lang w:val="en-US"/>
        </w:rPr>
        <w:t>71-year-old</w:t>
      </w:r>
      <w:r w:rsidRPr="00B72704">
        <w:rPr>
          <w:rFonts w:ascii="Inter" w:hAnsi="Inter" w:cs="Calibri"/>
          <w:i/>
          <w:iCs/>
          <w:sz w:val="20"/>
          <w:szCs w:val="20"/>
        </w:rPr>
        <w:t xml:space="preserve"> </w:t>
      </w:r>
      <w:r w:rsidRPr="00B72704">
        <w:rPr>
          <w:rFonts w:ascii="Inter" w:hAnsi="Inter" w:cs="Calibri"/>
          <w:i/>
          <w:iCs/>
          <w:sz w:val="20"/>
          <w:szCs w:val="20"/>
          <w:lang w:val="en-US"/>
        </w:rPr>
        <w:t>PGR</w:t>
      </w:r>
    </w:p>
    <w:p w14:paraId="2B7B88EE" w14:textId="2DA19BA4" w:rsidR="00EE6235" w:rsidRPr="00524998" w:rsidRDefault="76BEB929" w:rsidP="001F50A2">
      <w:pPr>
        <w:spacing w:before="240"/>
        <w:rPr>
          <w:rFonts w:ascii="Inter" w:hAnsi="Inter" w:cs="Calibri"/>
          <w:sz w:val="22"/>
          <w:szCs w:val="22"/>
        </w:rPr>
      </w:pPr>
      <w:r w:rsidRPr="00524998">
        <w:rPr>
          <w:rFonts w:ascii="Inter" w:hAnsi="Inter" w:cs="Calibri"/>
          <w:sz w:val="22"/>
          <w:szCs w:val="22"/>
        </w:rPr>
        <w:t>Supervisors can help by providing</w:t>
      </w:r>
      <w:r w:rsidR="00DF2F00" w:rsidRPr="00524998">
        <w:rPr>
          <w:rFonts w:ascii="Inter" w:hAnsi="Inter" w:cs="Calibri"/>
          <w:sz w:val="22"/>
          <w:szCs w:val="22"/>
        </w:rPr>
        <w:t xml:space="preserve"> a broader context, explaining how the </w:t>
      </w:r>
      <w:r w:rsidR="00207FAF" w:rsidRPr="00524998">
        <w:rPr>
          <w:rFonts w:ascii="Inter" w:hAnsi="Inter" w:cs="Calibri"/>
          <w:sz w:val="22"/>
          <w:szCs w:val="22"/>
        </w:rPr>
        <w:t>s</w:t>
      </w:r>
      <w:r w:rsidR="00DF2F00" w:rsidRPr="00524998">
        <w:rPr>
          <w:rFonts w:ascii="Inter" w:hAnsi="Inter" w:cs="Calibri"/>
          <w:sz w:val="22"/>
          <w:szCs w:val="22"/>
        </w:rPr>
        <w:t xml:space="preserve">chool fits within the </w:t>
      </w:r>
      <w:r w:rsidR="002D1690" w:rsidRPr="00524998">
        <w:rPr>
          <w:rFonts w:ascii="Inter" w:hAnsi="Inter" w:cs="Calibri"/>
          <w:sz w:val="22"/>
          <w:szCs w:val="22"/>
        </w:rPr>
        <w:t>U</w:t>
      </w:r>
      <w:r w:rsidR="00DF2F00" w:rsidRPr="00524998">
        <w:rPr>
          <w:rFonts w:ascii="Inter" w:hAnsi="Inter" w:cs="Calibri"/>
          <w:sz w:val="22"/>
          <w:szCs w:val="22"/>
        </w:rPr>
        <w:t xml:space="preserve">niversity, which </w:t>
      </w:r>
      <w:r w:rsidR="002D1690" w:rsidRPr="00524998">
        <w:rPr>
          <w:rFonts w:ascii="Inter" w:hAnsi="Inter" w:cs="Calibri"/>
          <w:sz w:val="22"/>
          <w:szCs w:val="22"/>
        </w:rPr>
        <w:t>F</w:t>
      </w:r>
      <w:r w:rsidR="00DF2F00" w:rsidRPr="00524998">
        <w:rPr>
          <w:rFonts w:ascii="Inter" w:hAnsi="Inter" w:cs="Calibri"/>
          <w:sz w:val="22"/>
          <w:szCs w:val="22"/>
        </w:rPr>
        <w:t>aculty it belongs to, and outlining relevant governance structures. The</w:t>
      </w:r>
      <w:r w:rsidR="00E01976" w:rsidRPr="00524998">
        <w:rPr>
          <w:rFonts w:ascii="Inter" w:hAnsi="Inter" w:cs="Calibri"/>
          <w:sz w:val="22"/>
          <w:szCs w:val="22"/>
        </w:rPr>
        <w:t xml:space="preserve"> </w:t>
      </w:r>
      <w:hyperlink r:id="rId15">
        <w:r w:rsidR="00E01976" w:rsidRPr="00524998">
          <w:rPr>
            <w:rStyle w:val="Hyperlink"/>
            <w:rFonts w:ascii="Inter" w:hAnsi="Inter" w:cs="Calibri"/>
            <w:sz w:val="22"/>
            <w:szCs w:val="22"/>
          </w:rPr>
          <w:t>BDC’s PGR Governance Overview</w:t>
        </w:r>
      </w:hyperlink>
      <w:r w:rsidR="00E01976" w:rsidRPr="00524998">
        <w:rPr>
          <w:rFonts w:ascii="Inter" w:hAnsi="Inter" w:cs="Calibri"/>
          <w:sz w:val="22"/>
          <w:szCs w:val="22"/>
        </w:rPr>
        <w:t xml:space="preserve"> may be a helpful resource to share with </w:t>
      </w:r>
      <w:r w:rsidR="7FF67C71" w:rsidRPr="00524998">
        <w:rPr>
          <w:rFonts w:ascii="Inter" w:hAnsi="Inter" w:cs="Calibri"/>
          <w:sz w:val="22"/>
          <w:szCs w:val="22"/>
        </w:rPr>
        <w:t>m</w:t>
      </w:r>
      <w:r w:rsidR="00E01976" w:rsidRPr="00524998">
        <w:rPr>
          <w:rFonts w:ascii="Inter" w:hAnsi="Inter" w:cs="Calibri"/>
          <w:sz w:val="22"/>
          <w:szCs w:val="22"/>
        </w:rPr>
        <w:t xml:space="preserve">ature PGRs. Introducing key parts of the </w:t>
      </w:r>
      <w:r w:rsidR="00C347F5" w:rsidRPr="00524998">
        <w:rPr>
          <w:rFonts w:ascii="Inter" w:hAnsi="Inter" w:cs="Calibri"/>
          <w:sz w:val="22"/>
          <w:szCs w:val="22"/>
        </w:rPr>
        <w:t>U</w:t>
      </w:r>
      <w:r w:rsidR="00E01976" w:rsidRPr="00524998">
        <w:rPr>
          <w:rFonts w:ascii="Inter" w:hAnsi="Inter" w:cs="Calibri"/>
          <w:sz w:val="22"/>
          <w:szCs w:val="22"/>
        </w:rPr>
        <w:t xml:space="preserve">niversity, such as the </w:t>
      </w:r>
      <w:r w:rsidR="00343177" w:rsidRPr="00524998">
        <w:rPr>
          <w:rFonts w:ascii="Inter" w:hAnsi="Inter" w:cs="Calibri"/>
          <w:sz w:val="22"/>
          <w:szCs w:val="22"/>
        </w:rPr>
        <w:t>BDC</w:t>
      </w:r>
      <w:r w:rsidR="00E01976" w:rsidRPr="00524998">
        <w:rPr>
          <w:rFonts w:ascii="Inter" w:hAnsi="Inter" w:cs="Calibri"/>
          <w:sz w:val="22"/>
          <w:szCs w:val="22"/>
        </w:rPr>
        <w:t xml:space="preserve"> and Students’ Union (SU), enables mature students to see where they fit academically and administratively, and to identify sources of support and representation available to them</w:t>
      </w:r>
      <w:r w:rsidR="00D43462" w:rsidRPr="00524998">
        <w:rPr>
          <w:rFonts w:ascii="Inter" w:hAnsi="Inter" w:cs="Calibri"/>
          <w:sz w:val="22"/>
          <w:szCs w:val="22"/>
        </w:rPr>
        <w:t xml:space="preserve">. </w:t>
      </w:r>
    </w:p>
    <w:p w14:paraId="4E9DD656" w14:textId="738359D7" w:rsidR="00DE0270" w:rsidRPr="00524998" w:rsidRDefault="003845A6" w:rsidP="001F50A2">
      <w:pPr>
        <w:spacing w:before="240"/>
        <w:rPr>
          <w:rFonts w:ascii="Inter" w:hAnsi="Inter" w:cs="Calibri"/>
          <w:sz w:val="22"/>
          <w:szCs w:val="22"/>
        </w:rPr>
      </w:pPr>
      <w:r w:rsidRPr="00524998">
        <w:rPr>
          <w:rFonts w:ascii="Inter" w:hAnsi="Inter" w:cs="Calibri"/>
          <w:sz w:val="22"/>
          <w:szCs w:val="22"/>
        </w:rPr>
        <w:t xml:space="preserve">It is common for supervisors to assume that inductions will cover this but </w:t>
      </w:r>
      <w:r w:rsidR="072F9A4A" w:rsidRPr="00524998">
        <w:rPr>
          <w:rFonts w:ascii="Inter" w:hAnsi="Inter" w:cs="Calibri"/>
          <w:sz w:val="22"/>
          <w:szCs w:val="22"/>
        </w:rPr>
        <w:t>m</w:t>
      </w:r>
      <w:r w:rsidR="00EE6235" w:rsidRPr="00524998">
        <w:rPr>
          <w:rFonts w:ascii="Inter" w:hAnsi="Inter" w:cs="Calibri"/>
          <w:sz w:val="22"/>
          <w:szCs w:val="22"/>
        </w:rPr>
        <w:t>ature PGRs</w:t>
      </w:r>
      <w:r w:rsidR="00AF6ACF" w:rsidRPr="00524998">
        <w:rPr>
          <w:rFonts w:ascii="Inter" w:hAnsi="Inter" w:cs="Calibri"/>
          <w:sz w:val="22"/>
          <w:szCs w:val="22"/>
        </w:rPr>
        <w:t xml:space="preserve"> report often missing out on inductions as they</w:t>
      </w:r>
      <w:r w:rsidR="00EE6235" w:rsidRPr="00524998">
        <w:rPr>
          <w:rFonts w:ascii="Inter" w:hAnsi="Inter" w:cs="Calibri"/>
          <w:sz w:val="22"/>
          <w:szCs w:val="22"/>
        </w:rPr>
        <w:t xml:space="preserve"> are more likely to have a non-standard start to their programme and may be unable to engage </w:t>
      </w:r>
      <w:r w:rsidR="00EC1367" w:rsidRPr="00524998">
        <w:rPr>
          <w:rFonts w:ascii="Inter" w:hAnsi="Inter" w:cs="Calibri"/>
          <w:sz w:val="22"/>
          <w:szCs w:val="22"/>
        </w:rPr>
        <w:t>due to</w:t>
      </w:r>
      <w:r w:rsidR="00AF6ACF" w:rsidRPr="00524998">
        <w:rPr>
          <w:rFonts w:ascii="Inter" w:hAnsi="Inter" w:cs="Calibri"/>
          <w:sz w:val="22"/>
          <w:szCs w:val="22"/>
        </w:rPr>
        <w:t xml:space="preserve"> part</w:t>
      </w:r>
      <w:r w:rsidR="00C347F5" w:rsidRPr="00524998">
        <w:rPr>
          <w:rFonts w:ascii="Inter" w:hAnsi="Inter" w:cs="Calibri"/>
          <w:sz w:val="22"/>
          <w:szCs w:val="22"/>
        </w:rPr>
        <w:t>-</w:t>
      </w:r>
      <w:r w:rsidR="00AF6ACF" w:rsidRPr="00524998">
        <w:rPr>
          <w:rFonts w:ascii="Inter" w:hAnsi="Inter" w:cs="Calibri"/>
          <w:sz w:val="22"/>
          <w:szCs w:val="22"/>
        </w:rPr>
        <w:t xml:space="preserve">time </w:t>
      </w:r>
      <w:r w:rsidR="00EC1367" w:rsidRPr="00524998">
        <w:rPr>
          <w:rFonts w:ascii="Inter" w:hAnsi="Inter" w:cs="Calibri"/>
          <w:sz w:val="22"/>
          <w:szCs w:val="22"/>
        </w:rPr>
        <w:t>study</w:t>
      </w:r>
      <w:r w:rsidR="00AF6ACF" w:rsidRPr="00524998">
        <w:rPr>
          <w:rFonts w:ascii="Inter" w:hAnsi="Inter" w:cs="Calibri"/>
          <w:sz w:val="22"/>
          <w:szCs w:val="22"/>
        </w:rPr>
        <w:t xml:space="preserve"> </w:t>
      </w:r>
      <w:r w:rsidR="26634714" w:rsidRPr="00524998">
        <w:rPr>
          <w:rFonts w:ascii="Inter" w:hAnsi="Inter" w:cs="Calibri"/>
          <w:sz w:val="22"/>
          <w:szCs w:val="22"/>
        </w:rPr>
        <w:t>arrangements</w:t>
      </w:r>
      <w:r w:rsidR="00EE6235" w:rsidRPr="00524998">
        <w:rPr>
          <w:rFonts w:ascii="Inter" w:hAnsi="Inter" w:cs="Calibri"/>
          <w:sz w:val="22"/>
          <w:szCs w:val="22"/>
        </w:rPr>
        <w:t xml:space="preserve"> </w:t>
      </w:r>
      <w:r w:rsidR="00DE0270" w:rsidRPr="00524998">
        <w:rPr>
          <w:rFonts w:ascii="Inter" w:hAnsi="Inter" w:cs="Calibri"/>
          <w:sz w:val="22"/>
          <w:szCs w:val="22"/>
        </w:rPr>
        <w:fldChar w:fldCharType="begin"/>
      </w:r>
      <w:r w:rsidR="00DE0270" w:rsidRPr="00524998">
        <w:rPr>
          <w:rFonts w:ascii="Inter" w:hAnsi="Inter" w:cs="Calibri"/>
          <w:sz w:val="22"/>
          <w:szCs w:val="22"/>
        </w:rPr>
        <w:instrText xml:space="preserve"> ADDIN EN.CITE &lt;EndNote&gt;&lt;Cite&gt;&lt;Author&gt;Block&lt;/Author&gt;&lt;Year&gt;2023&lt;/Year&gt;&lt;RecNum&gt;1386&lt;/RecNum&gt;&lt;DisplayText&gt;(Block 2023)&lt;/DisplayText&gt;&lt;record&gt;&lt;rec-number&gt;1386&lt;/rec-number&gt;&lt;foreign-keys&gt;&lt;key app="EN" db-id="5vf22xatlw50reerez5vrpd6rfarfarffe95" timestamp="1751453901"&gt;1386&lt;/key&gt;&lt;/foreign-keys&gt;&lt;ref-type name="Blog"&gt;56&lt;/ref-type&gt;&lt;contributors&gt;&lt;authors&gt;&lt;author&gt;Peter Block&lt;/author&gt;&lt;/authors&gt;&lt;/contributors&gt;&lt;titles&gt;&lt;title&gt;Universities continue to fail the non-traditional part-time mature PhD student&lt;/title&gt;&lt;/titles&gt;&lt;dates&gt;&lt;year&gt;2023&lt;/year&gt;&lt;/dates&gt;&lt;publisher&gt;Higher Education Policy Institute&lt;/publisher&gt;&lt;urls&gt;&lt;/urls&gt;&lt;/record&gt;&lt;/Cite&gt;&lt;/EndNote&gt;</w:instrText>
      </w:r>
      <w:r w:rsidR="00DE0270" w:rsidRPr="00524998">
        <w:rPr>
          <w:rFonts w:ascii="Inter" w:hAnsi="Inter" w:cs="Calibri"/>
          <w:sz w:val="22"/>
          <w:szCs w:val="22"/>
        </w:rPr>
        <w:fldChar w:fldCharType="separate"/>
      </w:r>
      <w:r w:rsidR="00EE6235" w:rsidRPr="00524998">
        <w:rPr>
          <w:rFonts w:ascii="Inter" w:hAnsi="Inter" w:cs="Calibri"/>
          <w:sz w:val="22"/>
          <w:szCs w:val="22"/>
        </w:rPr>
        <w:t>(Block</w:t>
      </w:r>
      <w:r w:rsidR="00361150" w:rsidRPr="00524998">
        <w:rPr>
          <w:rFonts w:ascii="Inter" w:hAnsi="Inter" w:cs="Calibri"/>
          <w:sz w:val="22"/>
          <w:szCs w:val="22"/>
        </w:rPr>
        <w:t>,</w:t>
      </w:r>
      <w:r w:rsidR="00EE6235" w:rsidRPr="00524998">
        <w:rPr>
          <w:rFonts w:ascii="Inter" w:hAnsi="Inter" w:cs="Calibri"/>
          <w:sz w:val="22"/>
          <w:szCs w:val="22"/>
        </w:rPr>
        <w:t xml:space="preserve"> 2023)</w:t>
      </w:r>
      <w:r w:rsidR="00DE0270" w:rsidRPr="00524998">
        <w:rPr>
          <w:rFonts w:ascii="Inter" w:hAnsi="Inter" w:cs="Calibri"/>
          <w:sz w:val="22"/>
          <w:szCs w:val="22"/>
        </w:rPr>
        <w:fldChar w:fldCharType="end"/>
      </w:r>
      <w:r w:rsidR="00EE6235" w:rsidRPr="00524998">
        <w:rPr>
          <w:rFonts w:ascii="Inter" w:hAnsi="Inter" w:cs="Calibri"/>
          <w:sz w:val="22"/>
          <w:szCs w:val="22"/>
        </w:rPr>
        <w:t>.</w:t>
      </w:r>
    </w:p>
    <w:p w14:paraId="2BE29433" w14:textId="4736C8FC" w:rsidR="00DE0270" w:rsidRPr="00524998" w:rsidRDefault="00DA4357" w:rsidP="001F50A2">
      <w:pPr>
        <w:spacing w:before="240"/>
        <w:rPr>
          <w:rFonts w:ascii="Inter" w:hAnsi="Inter" w:cs="Calibri"/>
          <w:sz w:val="22"/>
          <w:szCs w:val="22"/>
        </w:rPr>
        <w:sectPr w:rsidR="00DE0270" w:rsidRPr="00524998" w:rsidSect="000E5ED7">
          <w:footerReference w:type="default" r:id="rId16"/>
          <w:pgSz w:w="11906" w:h="16838"/>
          <w:pgMar w:top="1440" w:right="1440" w:bottom="1440" w:left="1440" w:header="708" w:footer="708" w:gutter="0"/>
          <w:cols w:space="708"/>
          <w:docGrid w:linePitch="360"/>
        </w:sectPr>
      </w:pPr>
      <w:r w:rsidRPr="00524998">
        <w:rPr>
          <w:rFonts w:ascii="Inter" w:hAnsi="Inter" w:cs="Calibri"/>
          <w:sz w:val="22"/>
          <w:szCs w:val="22"/>
        </w:rPr>
        <w:t>Terminology can also be unfamiliar. It is helpful to explain what is involved in the PhD process and any key terms and processes that may be unfamiliar</w:t>
      </w:r>
      <w:r w:rsidR="004D5363" w:rsidRPr="00524998">
        <w:rPr>
          <w:rFonts w:ascii="Inter" w:hAnsi="Inter" w:cs="Calibri"/>
          <w:sz w:val="22"/>
          <w:szCs w:val="22"/>
        </w:rPr>
        <w:t>.</w:t>
      </w:r>
      <w:r w:rsidR="00517C3E" w:rsidRPr="00524998">
        <w:rPr>
          <w:rFonts w:ascii="Inter" w:hAnsi="Inter" w:cs="Calibri"/>
          <w:sz w:val="22"/>
          <w:szCs w:val="22"/>
        </w:rPr>
        <w:t xml:space="preserve"> </w:t>
      </w:r>
      <w:r w:rsidRPr="00524998">
        <w:rPr>
          <w:rFonts w:ascii="Inter" w:hAnsi="Inter" w:cs="Calibri"/>
          <w:sz w:val="22"/>
          <w:szCs w:val="22"/>
        </w:rPr>
        <w:t>Examples include:</w:t>
      </w:r>
    </w:p>
    <w:p w14:paraId="7E4DA60E" w14:textId="77777777" w:rsidR="000D3CE5" w:rsidRPr="00524998" w:rsidRDefault="00DA4357" w:rsidP="00E67553">
      <w:pPr>
        <w:pStyle w:val="ListParagraph"/>
        <w:numPr>
          <w:ilvl w:val="0"/>
          <w:numId w:val="20"/>
        </w:numPr>
        <w:ind w:left="426"/>
        <w:jc w:val="both"/>
        <w:rPr>
          <w:rFonts w:ascii="Inter" w:hAnsi="Inter" w:cs="Calibri"/>
          <w:sz w:val="22"/>
          <w:szCs w:val="22"/>
        </w:rPr>
      </w:pPr>
      <w:r w:rsidRPr="00524998">
        <w:rPr>
          <w:rFonts w:ascii="Inter" w:hAnsi="Inter" w:cs="Calibri"/>
          <w:sz w:val="22"/>
          <w:szCs w:val="22"/>
        </w:rPr>
        <w:t>Office hours</w:t>
      </w:r>
      <w:r w:rsidR="000D3CE5" w:rsidRPr="00524998">
        <w:rPr>
          <w:rFonts w:ascii="Inter" w:hAnsi="Inter" w:cs="Calibri"/>
          <w:sz w:val="22"/>
          <w:szCs w:val="22"/>
        </w:rPr>
        <w:t xml:space="preserve"> </w:t>
      </w:r>
    </w:p>
    <w:p w14:paraId="45209E5B" w14:textId="20DFCA4A" w:rsidR="00DA4357" w:rsidRPr="00524998" w:rsidRDefault="00DA4357" w:rsidP="00E67553">
      <w:pPr>
        <w:pStyle w:val="ListParagraph"/>
        <w:numPr>
          <w:ilvl w:val="0"/>
          <w:numId w:val="20"/>
        </w:numPr>
        <w:ind w:left="426"/>
        <w:jc w:val="both"/>
        <w:rPr>
          <w:rFonts w:ascii="Inter" w:hAnsi="Inter" w:cs="Calibri"/>
          <w:sz w:val="22"/>
          <w:szCs w:val="22"/>
        </w:rPr>
      </w:pPr>
      <w:r w:rsidRPr="00524998">
        <w:rPr>
          <w:rFonts w:ascii="Inter" w:hAnsi="Inter" w:cs="Calibri"/>
          <w:sz w:val="22"/>
          <w:szCs w:val="22"/>
        </w:rPr>
        <w:t>Term time</w:t>
      </w:r>
      <w:r w:rsidR="00152138" w:rsidRPr="00524998">
        <w:rPr>
          <w:rFonts w:ascii="Inter" w:hAnsi="Inter" w:cs="Calibri"/>
          <w:sz w:val="22"/>
          <w:szCs w:val="22"/>
        </w:rPr>
        <w:t xml:space="preserve">s </w:t>
      </w:r>
    </w:p>
    <w:p w14:paraId="0F67D50A" w14:textId="77777777" w:rsidR="00DA4357" w:rsidRPr="00524998" w:rsidRDefault="00DA4357" w:rsidP="00E67553">
      <w:pPr>
        <w:pStyle w:val="ListParagraph"/>
        <w:numPr>
          <w:ilvl w:val="0"/>
          <w:numId w:val="20"/>
        </w:numPr>
        <w:ind w:left="426"/>
        <w:jc w:val="both"/>
        <w:rPr>
          <w:rFonts w:ascii="Inter" w:hAnsi="Inter" w:cs="Calibri"/>
          <w:sz w:val="22"/>
          <w:szCs w:val="22"/>
        </w:rPr>
      </w:pPr>
      <w:r w:rsidRPr="00524998">
        <w:rPr>
          <w:rFonts w:ascii="Inter" w:hAnsi="Inter" w:cs="Calibri"/>
          <w:sz w:val="22"/>
          <w:szCs w:val="22"/>
        </w:rPr>
        <w:t>School-specific acronyms</w:t>
      </w:r>
    </w:p>
    <w:p w14:paraId="1D649B27" w14:textId="34A259AC" w:rsidR="00DA4357" w:rsidRPr="00524998" w:rsidRDefault="00DA4357" w:rsidP="00E67553">
      <w:pPr>
        <w:pStyle w:val="ListParagraph"/>
        <w:numPr>
          <w:ilvl w:val="0"/>
          <w:numId w:val="20"/>
        </w:numPr>
        <w:ind w:left="426"/>
        <w:jc w:val="both"/>
        <w:rPr>
          <w:rFonts w:ascii="Inter" w:hAnsi="Inter" w:cs="Calibri"/>
          <w:sz w:val="22"/>
          <w:szCs w:val="22"/>
        </w:rPr>
      </w:pPr>
      <w:r w:rsidRPr="00524998">
        <w:rPr>
          <w:rFonts w:ascii="Inter" w:hAnsi="Inter" w:cs="Calibri"/>
          <w:sz w:val="22"/>
          <w:szCs w:val="22"/>
        </w:rPr>
        <w:t xml:space="preserve">Annual </w:t>
      </w:r>
      <w:r w:rsidR="0047392D" w:rsidRPr="00524998">
        <w:rPr>
          <w:rFonts w:ascii="Inter" w:hAnsi="Inter" w:cs="Calibri"/>
          <w:sz w:val="22"/>
          <w:szCs w:val="22"/>
        </w:rPr>
        <w:t>P</w:t>
      </w:r>
      <w:r w:rsidRPr="00524998">
        <w:rPr>
          <w:rFonts w:ascii="Inter" w:hAnsi="Inter" w:cs="Calibri"/>
          <w:sz w:val="22"/>
          <w:szCs w:val="22"/>
        </w:rPr>
        <w:t xml:space="preserve">rogress </w:t>
      </w:r>
      <w:r w:rsidR="0047392D" w:rsidRPr="00524998">
        <w:rPr>
          <w:rFonts w:ascii="Inter" w:hAnsi="Inter" w:cs="Calibri"/>
          <w:sz w:val="22"/>
          <w:szCs w:val="22"/>
        </w:rPr>
        <w:t>M</w:t>
      </w:r>
      <w:r w:rsidR="005B3DB1" w:rsidRPr="00524998">
        <w:rPr>
          <w:rFonts w:ascii="Inter" w:hAnsi="Inter" w:cs="Calibri"/>
          <w:sz w:val="22"/>
          <w:szCs w:val="22"/>
        </w:rPr>
        <w:t>onitor</w:t>
      </w:r>
      <w:r w:rsidR="001E7214" w:rsidRPr="00524998">
        <w:rPr>
          <w:rFonts w:ascii="Inter" w:hAnsi="Inter" w:cs="Calibri"/>
          <w:sz w:val="22"/>
          <w:szCs w:val="22"/>
        </w:rPr>
        <w:t>i</w:t>
      </w:r>
      <w:r w:rsidR="005B3DB1" w:rsidRPr="00524998">
        <w:rPr>
          <w:rFonts w:ascii="Inter" w:hAnsi="Inter" w:cs="Calibri"/>
          <w:sz w:val="22"/>
          <w:szCs w:val="22"/>
        </w:rPr>
        <w:t>ng</w:t>
      </w:r>
    </w:p>
    <w:p w14:paraId="37A0FBB0" w14:textId="77777777" w:rsidR="00DA4357" w:rsidRPr="00524998" w:rsidRDefault="00DA4357" w:rsidP="00E67553">
      <w:pPr>
        <w:pStyle w:val="ListParagraph"/>
        <w:numPr>
          <w:ilvl w:val="0"/>
          <w:numId w:val="20"/>
        </w:numPr>
        <w:ind w:left="426"/>
        <w:jc w:val="both"/>
        <w:rPr>
          <w:rFonts w:ascii="Inter" w:hAnsi="Inter" w:cs="Calibri"/>
          <w:sz w:val="22"/>
          <w:szCs w:val="22"/>
        </w:rPr>
      </w:pPr>
      <w:r w:rsidRPr="00524998">
        <w:rPr>
          <w:rFonts w:ascii="Inter" w:hAnsi="Inter" w:cs="Calibri"/>
          <w:sz w:val="22"/>
          <w:szCs w:val="22"/>
        </w:rPr>
        <w:t>Ethical approval process</w:t>
      </w:r>
    </w:p>
    <w:p w14:paraId="020B461B" w14:textId="35109567" w:rsidR="002A3AC8" w:rsidRPr="00524998" w:rsidRDefault="002A3AC8" w:rsidP="00E67553">
      <w:pPr>
        <w:pStyle w:val="ListParagraph"/>
        <w:numPr>
          <w:ilvl w:val="0"/>
          <w:numId w:val="20"/>
        </w:numPr>
        <w:ind w:left="426"/>
        <w:jc w:val="both"/>
        <w:rPr>
          <w:rFonts w:ascii="Inter" w:hAnsi="Inter" w:cs="Calibri"/>
          <w:sz w:val="22"/>
          <w:szCs w:val="22"/>
        </w:rPr>
      </w:pPr>
      <w:r w:rsidRPr="00524998">
        <w:rPr>
          <w:rFonts w:ascii="Inter" w:hAnsi="Inter" w:cs="Calibri"/>
          <w:sz w:val="22"/>
          <w:szCs w:val="22"/>
        </w:rPr>
        <w:t>R</w:t>
      </w:r>
      <w:r w:rsidR="00A65FAC" w:rsidRPr="00524998">
        <w:rPr>
          <w:rFonts w:ascii="Inter" w:hAnsi="Inter" w:cs="Calibri"/>
          <w:sz w:val="22"/>
          <w:szCs w:val="22"/>
        </w:rPr>
        <w:t xml:space="preserve">esearch Training </w:t>
      </w:r>
      <w:r w:rsidRPr="00524998">
        <w:rPr>
          <w:rFonts w:ascii="Inter" w:hAnsi="Inter" w:cs="Calibri"/>
          <w:sz w:val="22"/>
          <w:szCs w:val="22"/>
        </w:rPr>
        <w:t>S</w:t>
      </w:r>
      <w:r w:rsidR="00A65FAC" w:rsidRPr="00524998">
        <w:rPr>
          <w:rFonts w:ascii="Inter" w:hAnsi="Inter" w:cs="Calibri"/>
          <w:sz w:val="22"/>
          <w:szCs w:val="22"/>
        </w:rPr>
        <w:t xml:space="preserve">upport </w:t>
      </w:r>
      <w:r w:rsidRPr="00524998">
        <w:rPr>
          <w:rFonts w:ascii="Inter" w:hAnsi="Inter" w:cs="Calibri"/>
          <w:sz w:val="22"/>
          <w:szCs w:val="22"/>
        </w:rPr>
        <w:t>G</w:t>
      </w:r>
      <w:r w:rsidR="00A65FAC" w:rsidRPr="00524998">
        <w:rPr>
          <w:rFonts w:ascii="Inter" w:hAnsi="Inter" w:cs="Calibri"/>
          <w:sz w:val="22"/>
          <w:szCs w:val="22"/>
        </w:rPr>
        <w:t>rant</w:t>
      </w:r>
    </w:p>
    <w:p w14:paraId="35E46495" w14:textId="77777777" w:rsidR="00DA4357" w:rsidRPr="00524998" w:rsidRDefault="00DA4357" w:rsidP="00E67553">
      <w:pPr>
        <w:pStyle w:val="ListParagraph"/>
        <w:numPr>
          <w:ilvl w:val="0"/>
          <w:numId w:val="20"/>
        </w:numPr>
        <w:ind w:left="426"/>
        <w:jc w:val="both"/>
        <w:rPr>
          <w:rFonts w:ascii="Inter" w:hAnsi="Inter" w:cs="Calibri"/>
          <w:sz w:val="22"/>
          <w:szCs w:val="22"/>
        </w:rPr>
      </w:pPr>
      <w:r w:rsidRPr="00524998">
        <w:rPr>
          <w:rFonts w:ascii="Inter" w:hAnsi="Inter" w:cs="Calibri"/>
          <w:sz w:val="22"/>
          <w:szCs w:val="22"/>
        </w:rPr>
        <w:t>Funding opportunities</w:t>
      </w:r>
    </w:p>
    <w:p w14:paraId="15F37336" w14:textId="77777777" w:rsidR="00DA4357" w:rsidRPr="00524998" w:rsidRDefault="00DA4357" w:rsidP="00E67553">
      <w:pPr>
        <w:pStyle w:val="ListParagraph"/>
        <w:numPr>
          <w:ilvl w:val="0"/>
          <w:numId w:val="20"/>
        </w:numPr>
        <w:ind w:left="426"/>
        <w:rPr>
          <w:rFonts w:ascii="Inter" w:hAnsi="Inter" w:cs="Calibri"/>
          <w:sz w:val="22"/>
          <w:szCs w:val="22"/>
        </w:rPr>
      </w:pPr>
      <w:r w:rsidRPr="00524998">
        <w:rPr>
          <w:rFonts w:ascii="Inter" w:hAnsi="Inter" w:cs="Calibri"/>
          <w:sz w:val="22"/>
          <w:szCs w:val="22"/>
        </w:rPr>
        <w:t>Publication policy and peer review</w:t>
      </w:r>
    </w:p>
    <w:p w14:paraId="6DFE7E4E" w14:textId="338F1E32" w:rsidR="000B5180" w:rsidRPr="00524998" w:rsidRDefault="00133C34" w:rsidP="00E67553">
      <w:pPr>
        <w:pStyle w:val="ListParagraph"/>
        <w:numPr>
          <w:ilvl w:val="0"/>
          <w:numId w:val="20"/>
        </w:numPr>
        <w:ind w:left="426"/>
        <w:rPr>
          <w:rFonts w:ascii="Inter" w:hAnsi="Inter" w:cs="Calibri"/>
          <w:sz w:val="22"/>
          <w:szCs w:val="22"/>
        </w:rPr>
      </w:pPr>
      <w:r w:rsidRPr="00524998">
        <w:rPr>
          <w:rFonts w:ascii="Inter" w:hAnsi="Inter" w:cs="Calibri"/>
          <w:sz w:val="22"/>
          <w:szCs w:val="22"/>
        </w:rPr>
        <w:t>Regulation</w:t>
      </w:r>
      <w:r w:rsidR="00FA72BA" w:rsidRPr="00524998">
        <w:rPr>
          <w:rFonts w:ascii="Inter" w:hAnsi="Inter" w:cs="Calibri"/>
          <w:sz w:val="22"/>
          <w:szCs w:val="22"/>
        </w:rPr>
        <w:t>s</w:t>
      </w:r>
      <w:r w:rsidRPr="00524998">
        <w:rPr>
          <w:rFonts w:ascii="Inter" w:hAnsi="Inter" w:cs="Calibri"/>
          <w:sz w:val="22"/>
          <w:szCs w:val="22"/>
        </w:rPr>
        <w:t xml:space="preserve"> and </w:t>
      </w:r>
      <w:r w:rsidR="000B5180" w:rsidRPr="00524998">
        <w:rPr>
          <w:rFonts w:ascii="Inter" w:hAnsi="Inter" w:cs="Calibri"/>
          <w:sz w:val="22"/>
          <w:szCs w:val="22"/>
        </w:rPr>
        <w:t>code of practice</w:t>
      </w:r>
      <w:r w:rsidR="00FA72BA" w:rsidRPr="00524998">
        <w:rPr>
          <w:rFonts w:ascii="Inter" w:hAnsi="Inter" w:cs="Calibri"/>
          <w:sz w:val="22"/>
          <w:szCs w:val="22"/>
        </w:rPr>
        <w:t xml:space="preserve"> for research degree programmes</w:t>
      </w:r>
      <w:r w:rsidR="000B5180" w:rsidRPr="00524998">
        <w:rPr>
          <w:rFonts w:ascii="Inter" w:hAnsi="Inter" w:cs="Calibri"/>
          <w:sz w:val="22"/>
          <w:szCs w:val="22"/>
        </w:rPr>
        <w:t xml:space="preserve"> (as they are not employees)</w:t>
      </w:r>
    </w:p>
    <w:p w14:paraId="64E855D2" w14:textId="02270A64" w:rsidR="00DA4357" w:rsidRPr="00524998" w:rsidRDefault="00DA4357" w:rsidP="00E67553">
      <w:pPr>
        <w:pStyle w:val="ListParagraph"/>
        <w:numPr>
          <w:ilvl w:val="0"/>
          <w:numId w:val="20"/>
        </w:numPr>
        <w:ind w:left="426"/>
        <w:rPr>
          <w:rFonts w:ascii="Inter" w:hAnsi="Inter" w:cs="Calibri"/>
          <w:b/>
          <w:bCs/>
          <w:sz w:val="22"/>
          <w:szCs w:val="22"/>
        </w:rPr>
      </w:pPr>
      <w:r w:rsidRPr="00524998">
        <w:rPr>
          <w:rFonts w:ascii="Inter" w:hAnsi="Inter" w:cs="Calibri"/>
          <w:sz w:val="22"/>
          <w:szCs w:val="22"/>
        </w:rPr>
        <w:t xml:space="preserve">Extension </w:t>
      </w:r>
      <w:r w:rsidR="00B444A0" w:rsidRPr="00524998">
        <w:rPr>
          <w:rFonts w:ascii="Inter" w:hAnsi="Inter" w:cs="Calibri"/>
          <w:sz w:val="22"/>
          <w:szCs w:val="22"/>
        </w:rPr>
        <w:t>r</w:t>
      </w:r>
      <w:r w:rsidRPr="00524998">
        <w:rPr>
          <w:rFonts w:ascii="Inter" w:hAnsi="Inter" w:cs="Calibri"/>
          <w:sz w:val="22"/>
          <w:szCs w:val="22"/>
        </w:rPr>
        <w:t xml:space="preserve">equests and </w:t>
      </w:r>
      <w:r w:rsidR="00B444A0" w:rsidRPr="00524998">
        <w:rPr>
          <w:rFonts w:ascii="Inter" w:hAnsi="Inter" w:cs="Calibri"/>
          <w:sz w:val="22"/>
          <w:szCs w:val="22"/>
        </w:rPr>
        <w:t>s</w:t>
      </w:r>
      <w:r w:rsidRPr="00524998">
        <w:rPr>
          <w:rFonts w:ascii="Inter" w:hAnsi="Inter" w:cs="Calibri"/>
          <w:sz w:val="22"/>
          <w:szCs w:val="22"/>
        </w:rPr>
        <w:t xml:space="preserve">uspension requests are critical, as </w:t>
      </w:r>
      <w:r w:rsidR="00B444A0" w:rsidRPr="00524998">
        <w:rPr>
          <w:rFonts w:ascii="Inter" w:hAnsi="Inter" w:cs="Calibri"/>
          <w:sz w:val="22"/>
          <w:szCs w:val="22"/>
        </w:rPr>
        <w:t>m</w:t>
      </w:r>
      <w:r w:rsidRPr="00524998">
        <w:rPr>
          <w:rFonts w:ascii="Inter" w:hAnsi="Inter" w:cs="Calibri"/>
          <w:sz w:val="22"/>
          <w:szCs w:val="22"/>
        </w:rPr>
        <w:t xml:space="preserve">ature PGRs are more likely to need to take breaks from their studies due to family commitments. </w:t>
      </w:r>
    </w:p>
    <w:p w14:paraId="2E5C28E5" w14:textId="77777777" w:rsidR="00DE0270" w:rsidRPr="00524998" w:rsidRDefault="00DE0270" w:rsidP="000D3CE5">
      <w:pPr>
        <w:ind w:left="360"/>
        <w:jc w:val="both"/>
        <w:rPr>
          <w:rFonts w:ascii="Inter" w:hAnsi="Inter" w:cs="Calibri"/>
          <w:b/>
          <w:bCs/>
          <w:sz w:val="22"/>
          <w:szCs w:val="22"/>
        </w:rPr>
        <w:sectPr w:rsidR="00DE0270" w:rsidRPr="00524998" w:rsidSect="00DE0270">
          <w:type w:val="continuous"/>
          <w:pgSz w:w="11906" w:h="16838"/>
          <w:pgMar w:top="1440" w:right="1440" w:bottom="1440" w:left="1440" w:header="708" w:footer="708" w:gutter="0"/>
          <w:cols w:num="2" w:space="708"/>
          <w:docGrid w:linePitch="360"/>
        </w:sectPr>
      </w:pPr>
    </w:p>
    <w:p w14:paraId="1FD51B15" w14:textId="77777777" w:rsidR="000D3CE5" w:rsidRPr="00524998" w:rsidRDefault="000D3CE5" w:rsidP="00524998">
      <w:pPr>
        <w:pStyle w:val="Heading4"/>
        <w:rPr>
          <w:sz w:val="22"/>
          <w:szCs w:val="22"/>
        </w:rPr>
      </w:pPr>
      <w:r w:rsidRPr="00524998">
        <w:rPr>
          <w:sz w:val="22"/>
          <w:szCs w:val="22"/>
        </w:rPr>
        <w:t>Top Tips from Supervisors and PGRs</w:t>
      </w:r>
    </w:p>
    <w:p w14:paraId="64B91252" w14:textId="0EC33B40" w:rsidR="0008544A" w:rsidRPr="00524998" w:rsidRDefault="0008544A" w:rsidP="001F50A2">
      <w:pPr>
        <w:pStyle w:val="ListParagraph"/>
        <w:numPr>
          <w:ilvl w:val="0"/>
          <w:numId w:val="21"/>
        </w:numPr>
        <w:rPr>
          <w:rFonts w:ascii="Inter" w:hAnsi="Inter" w:cs="Calibri"/>
          <w:sz w:val="22"/>
          <w:szCs w:val="22"/>
        </w:rPr>
      </w:pPr>
      <w:r w:rsidRPr="00524998">
        <w:rPr>
          <w:rFonts w:ascii="Inter" w:hAnsi="Inter" w:cs="Calibri"/>
          <w:sz w:val="22"/>
          <w:szCs w:val="22"/>
        </w:rPr>
        <w:t xml:space="preserve">Check with your students that they have </w:t>
      </w:r>
      <w:r w:rsidR="00D11120" w:rsidRPr="00524998">
        <w:rPr>
          <w:rFonts w:ascii="Inter" w:hAnsi="Inter" w:cs="Calibri"/>
          <w:sz w:val="22"/>
          <w:szCs w:val="22"/>
        </w:rPr>
        <w:t>been to an induction</w:t>
      </w:r>
      <w:r w:rsidR="20D5693E" w:rsidRPr="00524998">
        <w:rPr>
          <w:rFonts w:ascii="Inter" w:hAnsi="Inter" w:cs="Calibri"/>
          <w:sz w:val="22"/>
          <w:szCs w:val="22"/>
        </w:rPr>
        <w:t xml:space="preserve"> and ask if they have any questions</w:t>
      </w:r>
      <w:r w:rsidR="00793500" w:rsidRPr="00524998">
        <w:rPr>
          <w:rFonts w:ascii="Inter" w:hAnsi="Inter" w:cs="Calibri"/>
          <w:sz w:val="22"/>
          <w:szCs w:val="22"/>
        </w:rPr>
        <w:t>.</w:t>
      </w:r>
    </w:p>
    <w:p w14:paraId="0D62966B" w14:textId="72C4AC63" w:rsidR="00576770" w:rsidRPr="00524998" w:rsidRDefault="00D11120" w:rsidP="001F50A2">
      <w:pPr>
        <w:pStyle w:val="ListParagraph"/>
        <w:numPr>
          <w:ilvl w:val="0"/>
          <w:numId w:val="21"/>
        </w:numPr>
        <w:rPr>
          <w:rFonts w:ascii="Inter" w:hAnsi="Inter" w:cs="Calibri"/>
          <w:sz w:val="22"/>
          <w:szCs w:val="22"/>
        </w:rPr>
      </w:pPr>
      <w:r w:rsidRPr="00524998">
        <w:rPr>
          <w:rFonts w:ascii="Inter" w:hAnsi="Inter" w:cs="Calibri"/>
          <w:sz w:val="22"/>
          <w:szCs w:val="22"/>
        </w:rPr>
        <w:t>If they haven’t</w:t>
      </w:r>
      <w:r w:rsidR="007D7992" w:rsidRPr="00524998">
        <w:rPr>
          <w:rFonts w:ascii="Inter" w:hAnsi="Inter" w:cs="Calibri"/>
          <w:sz w:val="22"/>
          <w:szCs w:val="22"/>
        </w:rPr>
        <w:t xml:space="preserve"> attended</w:t>
      </w:r>
      <w:r w:rsidRPr="00524998">
        <w:rPr>
          <w:rFonts w:ascii="Inter" w:hAnsi="Inter" w:cs="Calibri"/>
          <w:sz w:val="22"/>
          <w:szCs w:val="22"/>
        </w:rPr>
        <w:t xml:space="preserve"> </w:t>
      </w:r>
      <w:r w:rsidR="196E900C" w:rsidRPr="00524998">
        <w:rPr>
          <w:rFonts w:ascii="Inter" w:hAnsi="Inter" w:cs="Calibri"/>
          <w:sz w:val="22"/>
          <w:szCs w:val="22"/>
        </w:rPr>
        <w:t xml:space="preserve">an induction, </w:t>
      </w:r>
      <w:r w:rsidRPr="00524998">
        <w:rPr>
          <w:rFonts w:ascii="Inter" w:hAnsi="Inter" w:cs="Calibri"/>
          <w:sz w:val="22"/>
          <w:szCs w:val="22"/>
        </w:rPr>
        <w:t xml:space="preserve">ensure </w:t>
      </w:r>
      <w:r w:rsidR="00752993" w:rsidRPr="00524998">
        <w:rPr>
          <w:rFonts w:ascii="Inter" w:hAnsi="Inter" w:cs="Calibri"/>
          <w:sz w:val="22"/>
          <w:szCs w:val="22"/>
        </w:rPr>
        <w:t xml:space="preserve">slides are made available and schedule a separate catch-up to answer any questions </w:t>
      </w:r>
      <w:r w:rsidR="00793500" w:rsidRPr="00524998">
        <w:rPr>
          <w:rFonts w:ascii="Inter" w:hAnsi="Inter" w:cs="Calibri"/>
          <w:sz w:val="22"/>
          <w:szCs w:val="22"/>
        </w:rPr>
        <w:t>.</w:t>
      </w:r>
    </w:p>
    <w:p w14:paraId="7A3D0ACF" w14:textId="64D9384F" w:rsidR="00157E95" w:rsidRPr="00524998" w:rsidRDefault="00157E95" w:rsidP="001F50A2">
      <w:pPr>
        <w:pStyle w:val="ListParagraph"/>
        <w:numPr>
          <w:ilvl w:val="0"/>
          <w:numId w:val="21"/>
        </w:numPr>
        <w:rPr>
          <w:rFonts w:ascii="Inter" w:hAnsi="Inter" w:cs="Calibri"/>
          <w:sz w:val="22"/>
          <w:szCs w:val="22"/>
        </w:rPr>
      </w:pPr>
      <w:r w:rsidRPr="00524998">
        <w:rPr>
          <w:rFonts w:ascii="Inter" w:hAnsi="Inter" w:cs="Calibri"/>
          <w:sz w:val="22"/>
          <w:szCs w:val="22"/>
        </w:rPr>
        <w:t xml:space="preserve">Explain </w:t>
      </w:r>
      <w:r w:rsidR="330FEFE7" w:rsidRPr="00524998">
        <w:rPr>
          <w:rFonts w:ascii="Inter" w:hAnsi="Inter" w:cs="Calibri"/>
          <w:sz w:val="22"/>
          <w:szCs w:val="22"/>
        </w:rPr>
        <w:t xml:space="preserve">institutional or disciplinary </w:t>
      </w:r>
      <w:r w:rsidRPr="00524998">
        <w:rPr>
          <w:rFonts w:ascii="Inter" w:hAnsi="Inter" w:cs="Calibri"/>
          <w:sz w:val="22"/>
          <w:szCs w:val="22"/>
        </w:rPr>
        <w:t>terminology early</w:t>
      </w:r>
      <w:r w:rsidR="007D7992" w:rsidRPr="00524998">
        <w:rPr>
          <w:rFonts w:ascii="Inter" w:hAnsi="Inter" w:cs="Calibri"/>
          <w:sz w:val="22"/>
          <w:szCs w:val="22"/>
        </w:rPr>
        <w:t xml:space="preserve"> in your discussions. </w:t>
      </w:r>
    </w:p>
    <w:p w14:paraId="1CF6D6D3" w14:textId="09BA1C36" w:rsidR="00DA4357" w:rsidRPr="00524998" w:rsidRDefault="00DA4357" w:rsidP="00524998">
      <w:pPr>
        <w:pStyle w:val="Heading2"/>
        <w:rPr>
          <w:sz w:val="22"/>
          <w:szCs w:val="22"/>
        </w:rPr>
      </w:pPr>
      <w:r w:rsidRPr="00524998">
        <w:rPr>
          <w:sz w:val="22"/>
          <w:szCs w:val="22"/>
        </w:rPr>
        <w:t>Useful resources to signpost</w:t>
      </w:r>
    </w:p>
    <w:p w14:paraId="24BD52FD" w14:textId="1DF1A90B" w:rsidR="00EE6235" w:rsidRPr="00524998" w:rsidRDefault="00EE6235" w:rsidP="001F50A2">
      <w:pPr>
        <w:rPr>
          <w:rFonts w:ascii="Inter" w:hAnsi="Inter" w:cs="Calibri"/>
          <w:sz w:val="22"/>
          <w:szCs w:val="22"/>
        </w:rPr>
      </w:pPr>
      <w:r w:rsidRPr="00524998">
        <w:rPr>
          <w:rFonts w:ascii="Inter" w:hAnsi="Inter" w:cs="Calibri"/>
          <w:sz w:val="22"/>
          <w:szCs w:val="22"/>
        </w:rPr>
        <w:t xml:space="preserve">The </w:t>
      </w:r>
      <w:hyperlink r:id="rId17">
        <w:r w:rsidRPr="00524998">
          <w:rPr>
            <w:rStyle w:val="Hyperlink"/>
            <w:rFonts w:ascii="Inter" w:hAnsi="Inter" w:cs="Calibri"/>
            <w:sz w:val="22"/>
            <w:szCs w:val="22"/>
          </w:rPr>
          <w:t>BDC’s PGR Governance Overview</w:t>
        </w:r>
      </w:hyperlink>
      <w:r w:rsidRPr="00524998">
        <w:rPr>
          <w:rFonts w:ascii="Inter" w:hAnsi="Inter" w:cs="Calibri"/>
          <w:sz w:val="22"/>
          <w:szCs w:val="22"/>
        </w:rPr>
        <w:t xml:space="preserve"> may be a helpful resource to share with </w:t>
      </w:r>
      <w:r w:rsidR="000A347E" w:rsidRPr="00524998">
        <w:rPr>
          <w:rFonts w:ascii="Inter" w:hAnsi="Inter" w:cs="Calibri"/>
          <w:sz w:val="22"/>
          <w:szCs w:val="22"/>
        </w:rPr>
        <w:t>m</w:t>
      </w:r>
      <w:r w:rsidRPr="00524998">
        <w:rPr>
          <w:rFonts w:ascii="Inter" w:hAnsi="Inter" w:cs="Calibri"/>
          <w:sz w:val="22"/>
          <w:szCs w:val="22"/>
        </w:rPr>
        <w:t>ature PGRs.</w:t>
      </w:r>
    </w:p>
    <w:p w14:paraId="702C54F3" w14:textId="08C4D103" w:rsidR="00DA4357" w:rsidRPr="00524998" w:rsidRDefault="00DA4357" w:rsidP="001F50A2">
      <w:pPr>
        <w:pStyle w:val="ListParagraph"/>
        <w:numPr>
          <w:ilvl w:val="1"/>
          <w:numId w:val="23"/>
        </w:numPr>
        <w:rPr>
          <w:rFonts w:ascii="Inter" w:hAnsi="Inter" w:cs="Calibri"/>
          <w:sz w:val="22"/>
          <w:szCs w:val="22"/>
        </w:rPr>
      </w:pPr>
      <w:r w:rsidRPr="00524998">
        <w:rPr>
          <w:rFonts w:ascii="Inter" w:hAnsi="Inter" w:cs="Calibri"/>
          <w:sz w:val="22"/>
          <w:szCs w:val="22"/>
        </w:rPr>
        <w:t>The BDC provides tailored guidance for new PGRs (</w:t>
      </w:r>
      <w:hyperlink r:id="rId18">
        <w:r w:rsidRPr="00524998">
          <w:rPr>
            <w:rStyle w:val="Hyperlink"/>
            <w:rFonts w:ascii="Inter" w:hAnsi="Inter" w:cs="Calibri"/>
            <w:sz w:val="22"/>
            <w:szCs w:val="22"/>
          </w:rPr>
          <w:t>New PGR guidance</w:t>
        </w:r>
      </w:hyperlink>
      <w:r w:rsidRPr="00524998">
        <w:rPr>
          <w:rFonts w:ascii="Inter" w:hAnsi="Inter" w:cs="Calibri"/>
          <w:sz w:val="22"/>
          <w:szCs w:val="22"/>
        </w:rPr>
        <w:t>)</w:t>
      </w:r>
      <w:r w:rsidR="00FA1D68" w:rsidRPr="00524998">
        <w:rPr>
          <w:rFonts w:ascii="Inter" w:hAnsi="Inter" w:cs="Calibri"/>
          <w:sz w:val="22"/>
          <w:szCs w:val="22"/>
        </w:rPr>
        <w:t>,</w:t>
      </w:r>
      <w:r w:rsidR="79D503B2" w:rsidRPr="00524998">
        <w:rPr>
          <w:rFonts w:ascii="Inter" w:hAnsi="Inter" w:cs="Calibri"/>
          <w:sz w:val="22"/>
          <w:szCs w:val="22"/>
        </w:rPr>
        <w:t xml:space="preserve"> and </w:t>
      </w:r>
      <w:hyperlink r:id="rId19">
        <w:r w:rsidR="79D503B2" w:rsidRPr="00524998">
          <w:rPr>
            <w:rStyle w:val="Hyperlink"/>
            <w:rFonts w:ascii="Inter" w:hAnsi="Inter" w:cs="Calibri"/>
            <w:sz w:val="22"/>
            <w:szCs w:val="22"/>
          </w:rPr>
          <w:t>resources to support PGRs and supervisors</w:t>
        </w:r>
      </w:hyperlink>
    </w:p>
    <w:p w14:paraId="737D9F4B" w14:textId="073C79B6" w:rsidR="00DA4357" w:rsidRPr="00524998" w:rsidRDefault="00DA4357" w:rsidP="001F50A2">
      <w:pPr>
        <w:pStyle w:val="ListParagraph"/>
        <w:numPr>
          <w:ilvl w:val="1"/>
          <w:numId w:val="23"/>
        </w:numPr>
        <w:rPr>
          <w:rFonts w:ascii="Inter" w:hAnsi="Inter" w:cs="Calibri"/>
          <w:sz w:val="22"/>
          <w:szCs w:val="22"/>
        </w:rPr>
      </w:pPr>
      <w:r w:rsidRPr="00524998">
        <w:rPr>
          <w:rFonts w:ascii="Inter" w:hAnsi="Inter" w:cs="Calibri"/>
          <w:sz w:val="22"/>
          <w:szCs w:val="22"/>
        </w:rPr>
        <w:t xml:space="preserve">The library also offers resources to help students prepare for study, access essential software, and navigate the </w:t>
      </w:r>
      <w:r w:rsidR="00EE17AE" w:rsidRPr="00524998">
        <w:rPr>
          <w:rFonts w:ascii="Inter" w:hAnsi="Inter" w:cs="Calibri"/>
          <w:sz w:val="22"/>
          <w:szCs w:val="22"/>
        </w:rPr>
        <w:t>U</w:t>
      </w:r>
      <w:r w:rsidRPr="00524998">
        <w:rPr>
          <w:rFonts w:ascii="Inter" w:hAnsi="Inter" w:cs="Calibri"/>
          <w:sz w:val="22"/>
          <w:szCs w:val="22"/>
        </w:rPr>
        <w:t>niversity’s online learning platforms (</w:t>
      </w:r>
      <w:hyperlink r:id="rId20">
        <w:r w:rsidRPr="00524998">
          <w:rPr>
            <w:rStyle w:val="Hyperlink"/>
            <w:rFonts w:ascii="Inter" w:hAnsi="Inter" w:cs="Calibri"/>
            <w:sz w:val="22"/>
            <w:szCs w:val="22"/>
          </w:rPr>
          <w:t>Get ready to study</w:t>
        </w:r>
      </w:hyperlink>
      <w:r w:rsidRPr="00524998">
        <w:rPr>
          <w:rFonts w:ascii="Inter" w:hAnsi="Inter" w:cs="Calibri"/>
          <w:sz w:val="22"/>
          <w:szCs w:val="22"/>
        </w:rPr>
        <w:t xml:space="preserve">, </w:t>
      </w:r>
      <w:hyperlink r:id="rId21">
        <w:r w:rsidRPr="00524998">
          <w:rPr>
            <w:rStyle w:val="Hyperlink"/>
            <w:rFonts w:ascii="Inter" w:hAnsi="Inter" w:cs="Calibri"/>
            <w:sz w:val="22"/>
            <w:szCs w:val="22"/>
          </w:rPr>
          <w:t>IT resources</w:t>
        </w:r>
      </w:hyperlink>
      <w:r w:rsidR="00DD0896" w:rsidRPr="00524998">
        <w:rPr>
          <w:rFonts w:ascii="Inter" w:hAnsi="Inter"/>
          <w:sz w:val="22"/>
          <w:szCs w:val="22"/>
        </w:rPr>
        <w:t xml:space="preserve">, </w:t>
      </w:r>
      <w:hyperlink r:id="rId22">
        <w:r w:rsidRPr="00524998">
          <w:rPr>
            <w:rStyle w:val="Hyperlink"/>
            <w:rFonts w:ascii="Inter" w:hAnsi="Inter" w:cs="Calibri"/>
            <w:sz w:val="22"/>
            <w:szCs w:val="22"/>
          </w:rPr>
          <w:t>Blackboard help</w:t>
        </w:r>
      </w:hyperlink>
      <w:r w:rsidRPr="00524998">
        <w:rPr>
          <w:rFonts w:ascii="Inter" w:hAnsi="Inter" w:cs="Calibri"/>
          <w:sz w:val="22"/>
          <w:szCs w:val="22"/>
        </w:rPr>
        <w:t xml:space="preserve">, </w:t>
      </w:r>
      <w:hyperlink r:id="rId23">
        <w:r w:rsidRPr="00524998">
          <w:rPr>
            <w:rStyle w:val="Hyperlink"/>
            <w:rFonts w:ascii="Inter" w:hAnsi="Inter" w:cs="Calibri"/>
            <w:sz w:val="22"/>
            <w:szCs w:val="22"/>
          </w:rPr>
          <w:t>Jumpstart University</w:t>
        </w:r>
      </w:hyperlink>
      <w:r w:rsidRPr="00524998">
        <w:rPr>
          <w:rFonts w:ascii="Inter" w:hAnsi="Inter" w:cs="Calibri"/>
          <w:sz w:val="22"/>
          <w:szCs w:val="22"/>
        </w:rPr>
        <w:t>).</w:t>
      </w:r>
    </w:p>
    <w:p w14:paraId="35FB3528" w14:textId="71F37799" w:rsidR="008572B6" w:rsidRPr="00524998" w:rsidRDefault="00DA4357" w:rsidP="001F50A2">
      <w:pPr>
        <w:pStyle w:val="ListParagraph"/>
        <w:numPr>
          <w:ilvl w:val="1"/>
          <w:numId w:val="23"/>
        </w:numPr>
        <w:rPr>
          <w:rFonts w:ascii="Inter" w:hAnsi="Inter" w:cs="Calibri"/>
          <w:sz w:val="22"/>
          <w:szCs w:val="22"/>
        </w:rPr>
      </w:pPr>
      <w:r w:rsidRPr="00524998">
        <w:rPr>
          <w:rFonts w:ascii="Inter" w:hAnsi="Inter" w:cs="Calibri"/>
          <w:sz w:val="22"/>
          <w:szCs w:val="22"/>
        </w:rPr>
        <w:t>Learning spaces PGRs can access, including discipline-specific libraries</w:t>
      </w:r>
      <w:r w:rsidR="003E67C3" w:rsidRPr="00524998">
        <w:rPr>
          <w:rFonts w:ascii="Inter" w:hAnsi="Inter" w:cs="Calibri"/>
          <w:sz w:val="22"/>
          <w:szCs w:val="22"/>
        </w:rPr>
        <w:t>.</w:t>
      </w:r>
    </w:p>
    <w:p w14:paraId="370ACE11" w14:textId="25910ED6" w:rsidR="008572B6" w:rsidRPr="00524998" w:rsidRDefault="00E76502" w:rsidP="001F50A2">
      <w:pPr>
        <w:rPr>
          <w:rFonts w:ascii="Inter" w:hAnsi="Inter" w:cs="Calibri"/>
          <w:i/>
          <w:iCs/>
          <w:sz w:val="22"/>
          <w:szCs w:val="22"/>
        </w:rPr>
      </w:pPr>
      <w:r w:rsidRPr="00524998">
        <w:rPr>
          <w:rFonts w:ascii="Inter" w:hAnsi="Inter" w:cs="Calibri"/>
          <w:i/>
          <w:iCs/>
          <w:sz w:val="22"/>
          <w:szCs w:val="22"/>
        </w:rPr>
        <w:t xml:space="preserve">This guide is informed by research from the </w:t>
      </w:r>
      <w:r w:rsidR="00DD0896" w:rsidRPr="00524998">
        <w:rPr>
          <w:rFonts w:ascii="Inter" w:hAnsi="Inter" w:cs="Calibri"/>
          <w:i/>
          <w:iCs/>
          <w:sz w:val="22"/>
          <w:szCs w:val="22"/>
        </w:rPr>
        <w:t>‘</w:t>
      </w:r>
      <w:r w:rsidRPr="00524998">
        <w:rPr>
          <w:rFonts w:ascii="Inter" w:hAnsi="Inter" w:cs="Calibri"/>
          <w:i/>
          <w:iCs/>
          <w:sz w:val="22"/>
          <w:szCs w:val="22"/>
        </w:rPr>
        <w:t>Returning to Research</w:t>
      </w:r>
      <w:r w:rsidR="00DD0896" w:rsidRPr="00524998">
        <w:rPr>
          <w:rFonts w:ascii="Inter" w:hAnsi="Inter" w:cs="Calibri"/>
          <w:i/>
          <w:iCs/>
          <w:sz w:val="22"/>
          <w:szCs w:val="22"/>
        </w:rPr>
        <w:t>’</w:t>
      </w:r>
      <w:r w:rsidRPr="00524998">
        <w:rPr>
          <w:rFonts w:ascii="Inter" w:hAnsi="Inter" w:cs="Calibri"/>
          <w:i/>
          <w:iCs/>
          <w:sz w:val="22"/>
          <w:szCs w:val="22"/>
        </w:rPr>
        <w:t xml:space="preserve"> project, supported by the Enhancing Research Culture fund and led by Dr Helen Thomas-Hughes and Dr Alice Beck. 75 interviews were performed with mature PGRs followed by a co-analysis session and a workshop with mature PGRs to develop supervisory guidance and induction materials. Two focus groups were performed with supervisors, supported by an online survey. This supervisory guidance document represents one of the resources produced from the findings of this research.</w:t>
      </w:r>
    </w:p>
    <w:p w14:paraId="117FBC0C" w14:textId="10373EEB" w:rsidR="008572B6" w:rsidRPr="00524998" w:rsidRDefault="008572B6" w:rsidP="00524998">
      <w:pPr>
        <w:pStyle w:val="Heading2"/>
        <w:rPr>
          <w:sz w:val="22"/>
          <w:szCs w:val="22"/>
        </w:rPr>
      </w:pPr>
      <w:r w:rsidRPr="00524998">
        <w:rPr>
          <w:sz w:val="22"/>
          <w:szCs w:val="22"/>
        </w:rPr>
        <w:t>References</w:t>
      </w:r>
    </w:p>
    <w:bookmarkStart w:id="0" w:name="_Hlk219295093"/>
    <w:p w14:paraId="75F6C4A8" w14:textId="77777777" w:rsidR="000D6D7C" w:rsidRPr="00524998" w:rsidRDefault="00A47ABD" w:rsidP="001F50A2">
      <w:pPr>
        <w:pStyle w:val="EndNoteBibliography"/>
        <w:spacing w:after="0"/>
        <w:ind w:left="720" w:hanging="720"/>
        <w:jc w:val="left"/>
        <w:rPr>
          <w:rFonts w:ascii="Inter" w:hAnsi="Inter" w:cs="Calibri"/>
          <w:noProof w:val="0"/>
          <w:sz w:val="22"/>
          <w:szCs w:val="22"/>
        </w:rPr>
      </w:pPr>
      <w:r w:rsidRPr="00524998">
        <w:rPr>
          <w:rFonts w:ascii="Inter" w:hAnsi="Inter" w:cs="Calibri"/>
          <w:noProof w:val="0"/>
          <w:sz w:val="22"/>
          <w:szCs w:val="22"/>
        </w:rPr>
        <w:fldChar w:fldCharType="begin"/>
      </w:r>
      <w:r w:rsidR="008572B6" w:rsidRPr="00524998">
        <w:rPr>
          <w:rFonts w:ascii="Inter" w:hAnsi="Inter" w:cs="Calibri"/>
          <w:noProof w:val="0"/>
          <w:sz w:val="22"/>
          <w:szCs w:val="22"/>
        </w:rPr>
        <w:instrText xml:space="preserve"> ADDIN EN.REFLIST </w:instrText>
      </w:r>
      <w:r w:rsidRPr="00524998">
        <w:rPr>
          <w:rFonts w:ascii="Inter" w:hAnsi="Inter" w:cs="Calibri"/>
          <w:noProof w:val="0"/>
          <w:sz w:val="22"/>
          <w:szCs w:val="22"/>
        </w:rPr>
        <w:fldChar w:fldCharType="separate"/>
      </w:r>
      <w:r w:rsidR="000D6D7C" w:rsidRPr="00524998">
        <w:rPr>
          <w:rFonts w:ascii="Inter" w:hAnsi="Inter" w:cs="Calibri"/>
          <w:noProof w:val="0"/>
          <w:sz w:val="22"/>
          <w:szCs w:val="22"/>
        </w:rPr>
        <w:t>Block, P. 2023. Universities continue to fail the non-traditional part-time mature PhD student.</w:t>
      </w:r>
    </w:p>
    <w:p w14:paraId="07110AAD" w14:textId="77777777" w:rsidR="000D6D7C" w:rsidRPr="00524998" w:rsidRDefault="000D6D7C" w:rsidP="001F50A2">
      <w:pPr>
        <w:pStyle w:val="EndNoteBibliography"/>
        <w:spacing w:after="0"/>
        <w:ind w:left="720" w:hanging="720"/>
        <w:jc w:val="left"/>
        <w:rPr>
          <w:rFonts w:ascii="Inter" w:hAnsi="Inter" w:cs="Calibri"/>
          <w:noProof w:val="0"/>
          <w:sz w:val="22"/>
          <w:szCs w:val="22"/>
        </w:rPr>
      </w:pPr>
      <w:r w:rsidRPr="00524998">
        <w:rPr>
          <w:rFonts w:ascii="Inter" w:hAnsi="Inter" w:cs="Calibri"/>
          <w:noProof w:val="0"/>
          <w:sz w:val="22"/>
          <w:szCs w:val="22"/>
        </w:rPr>
        <w:t xml:space="preserve">Dennis, C. A., Aubrey-Smith, F., Alvarez, I., Waterhouse, P. &amp; Ferguson, G. 2024. Professional doctorates reconciling academic and professional knowledge: towards a diffractive re-reading. </w:t>
      </w:r>
      <w:r w:rsidRPr="00524998">
        <w:rPr>
          <w:rFonts w:ascii="Inter" w:hAnsi="Inter" w:cs="Calibri"/>
          <w:i/>
          <w:noProof w:val="0"/>
          <w:sz w:val="22"/>
          <w:szCs w:val="22"/>
        </w:rPr>
        <w:t>Higher Education Research &amp; Development,</w:t>
      </w:r>
      <w:r w:rsidRPr="00524998">
        <w:rPr>
          <w:rFonts w:ascii="Inter" w:hAnsi="Inter" w:cs="Calibri"/>
          <w:noProof w:val="0"/>
          <w:sz w:val="22"/>
          <w:szCs w:val="22"/>
        </w:rPr>
        <w:t xml:space="preserve"> 43</w:t>
      </w:r>
      <w:r w:rsidRPr="00524998">
        <w:rPr>
          <w:rFonts w:ascii="Inter" w:hAnsi="Inter" w:cs="Calibri"/>
          <w:b/>
          <w:noProof w:val="0"/>
          <w:sz w:val="22"/>
          <w:szCs w:val="22"/>
        </w:rPr>
        <w:t>,</w:t>
      </w:r>
      <w:r w:rsidRPr="00524998">
        <w:rPr>
          <w:rFonts w:ascii="Inter" w:hAnsi="Inter" w:cs="Calibri"/>
          <w:noProof w:val="0"/>
          <w:sz w:val="22"/>
          <w:szCs w:val="22"/>
        </w:rPr>
        <w:t xml:space="preserve"> 1525-1539.</w:t>
      </w:r>
    </w:p>
    <w:p w14:paraId="4B8471BD" w14:textId="77777777" w:rsidR="000D6D7C" w:rsidRPr="00524998" w:rsidRDefault="000D6D7C" w:rsidP="001F50A2">
      <w:pPr>
        <w:pStyle w:val="EndNoteBibliography"/>
        <w:spacing w:after="0"/>
        <w:ind w:left="720" w:hanging="720"/>
        <w:jc w:val="left"/>
        <w:rPr>
          <w:rFonts w:ascii="Inter" w:hAnsi="Inter" w:cs="Calibri"/>
          <w:noProof w:val="0"/>
          <w:sz w:val="22"/>
          <w:szCs w:val="22"/>
        </w:rPr>
      </w:pPr>
      <w:r w:rsidRPr="00524998">
        <w:rPr>
          <w:rFonts w:ascii="Inter" w:hAnsi="Inter" w:cs="Calibri"/>
          <w:noProof w:val="0"/>
          <w:sz w:val="22"/>
          <w:szCs w:val="22"/>
        </w:rPr>
        <w:t xml:space="preserve">Fox, A. &amp; Slade, B. 2014. What impact can organisations expect from professional doctorates? </w:t>
      </w:r>
      <w:r w:rsidRPr="00524998">
        <w:rPr>
          <w:rFonts w:ascii="Inter" w:hAnsi="Inter" w:cs="Calibri"/>
          <w:i/>
          <w:noProof w:val="0"/>
          <w:sz w:val="22"/>
          <w:szCs w:val="22"/>
        </w:rPr>
        <w:t>Professional Development in Education,</w:t>
      </w:r>
      <w:r w:rsidRPr="00524998">
        <w:rPr>
          <w:rFonts w:ascii="Inter" w:hAnsi="Inter" w:cs="Calibri"/>
          <w:noProof w:val="0"/>
          <w:sz w:val="22"/>
          <w:szCs w:val="22"/>
        </w:rPr>
        <w:t xml:space="preserve"> 40</w:t>
      </w:r>
      <w:r w:rsidRPr="00524998">
        <w:rPr>
          <w:rFonts w:ascii="Inter" w:hAnsi="Inter" w:cs="Calibri"/>
          <w:b/>
          <w:noProof w:val="0"/>
          <w:sz w:val="22"/>
          <w:szCs w:val="22"/>
        </w:rPr>
        <w:t>,</w:t>
      </w:r>
      <w:r w:rsidRPr="00524998">
        <w:rPr>
          <w:rFonts w:ascii="Inter" w:hAnsi="Inter" w:cs="Calibri"/>
          <w:noProof w:val="0"/>
          <w:sz w:val="22"/>
          <w:szCs w:val="22"/>
        </w:rPr>
        <w:t xml:space="preserve"> 546-560.</w:t>
      </w:r>
    </w:p>
    <w:p w14:paraId="305E783E" w14:textId="77777777" w:rsidR="000D6D7C" w:rsidRPr="00524998" w:rsidRDefault="000D6D7C" w:rsidP="001F50A2">
      <w:pPr>
        <w:pStyle w:val="EndNoteBibliography"/>
        <w:spacing w:after="0"/>
        <w:ind w:left="720" w:hanging="720"/>
        <w:jc w:val="left"/>
        <w:rPr>
          <w:rFonts w:ascii="Inter" w:hAnsi="Inter" w:cs="Calibri"/>
          <w:noProof w:val="0"/>
          <w:sz w:val="22"/>
          <w:szCs w:val="22"/>
        </w:rPr>
      </w:pPr>
      <w:r w:rsidRPr="00524998">
        <w:rPr>
          <w:rFonts w:ascii="Inter" w:hAnsi="Inter" w:cs="Calibri"/>
          <w:noProof w:val="0"/>
          <w:sz w:val="22"/>
          <w:szCs w:val="22"/>
        </w:rPr>
        <w:t xml:space="preserve">Katartzi, E. &amp; Hayward, G. 2020. Transitions to higher education: The case of students with vocational background. </w:t>
      </w:r>
      <w:r w:rsidRPr="00524998">
        <w:rPr>
          <w:rFonts w:ascii="Inter" w:hAnsi="Inter" w:cs="Calibri"/>
          <w:i/>
          <w:noProof w:val="0"/>
          <w:sz w:val="22"/>
          <w:szCs w:val="22"/>
        </w:rPr>
        <w:t>Studies in Higher Education,</w:t>
      </w:r>
      <w:r w:rsidRPr="00524998">
        <w:rPr>
          <w:rFonts w:ascii="Inter" w:hAnsi="Inter" w:cs="Calibri"/>
          <w:noProof w:val="0"/>
          <w:sz w:val="22"/>
          <w:szCs w:val="22"/>
        </w:rPr>
        <w:t xml:space="preserve"> 45</w:t>
      </w:r>
      <w:r w:rsidRPr="00524998">
        <w:rPr>
          <w:rFonts w:ascii="Inter" w:hAnsi="Inter" w:cs="Calibri"/>
          <w:b/>
          <w:noProof w:val="0"/>
          <w:sz w:val="22"/>
          <w:szCs w:val="22"/>
        </w:rPr>
        <w:t>,</w:t>
      </w:r>
      <w:r w:rsidRPr="00524998">
        <w:rPr>
          <w:rFonts w:ascii="Inter" w:hAnsi="Inter" w:cs="Calibri"/>
          <w:noProof w:val="0"/>
          <w:sz w:val="22"/>
          <w:szCs w:val="22"/>
        </w:rPr>
        <w:t xml:space="preserve"> 2371-2381.</w:t>
      </w:r>
    </w:p>
    <w:p w14:paraId="7541938C" w14:textId="173EAB06" w:rsidR="00A47ABD" w:rsidRPr="00524998" w:rsidRDefault="000D6D7C" w:rsidP="001F50A2">
      <w:pPr>
        <w:pStyle w:val="EndNoteBibliography"/>
        <w:ind w:left="720" w:hanging="720"/>
        <w:jc w:val="left"/>
        <w:rPr>
          <w:rFonts w:ascii="Inter" w:hAnsi="Inter" w:cs="Calibri"/>
          <w:noProof w:val="0"/>
          <w:sz w:val="22"/>
          <w:szCs w:val="22"/>
        </w:rPr>
      </w:pPr>
      <w:r w:rsidRPr="00524998">
        <w:rPr>
          <w:rFonts w:ascii="Inter" w:hAnsi="Inter" w:cs="Calibri"/>
          <w:noProof w:val="0"/>
          <w:sz w:val="22"/>
          <w:szCs w:val="22"/>
        </w:rPr>
        <w:t xml:space="preserve">Kumar, S. &amp; Antonenko, P. 2014. Connecting practice, theory and method: Supporting professional doctoral students in developing conceptual frameworks. </w:t>
      </w:r>
      <w:r w:rsidRPr="00524998">
        <w:rPr>
          <w:rFonts w:ascii="Inter" w:hAnsi="Inter" w:cs="Calibri"/>
          <w:i/>
          <w:iCs/>
          <w:noProof w:val="0"/>
          <w:sz w:val="22"/>
          <w:szCs w:val="22"/>
        </w:rPr>
        <w:t>TechTrends,</w:t>
      </w:r>
      <w:r w:rsidRPr="00524998">
        <w:rPr>
          <w:rFonts w:ascii="Inter" w:hAnsi="Inter" w:cs="Calibri"/>
          <w:noProof w:val="0"/>
          <w:sz w:val="22"/>
          <w:szCs w:val="22"/>
        </w:rPr>
        <w:t xml:space="preserve"> 58</w:t>
      </w:r>
      <w:r w:rsidRPr="00524998">
        <w:rPr>
          <w:rFonts w:ascii="Inter" w:hAnsi="Inter" w:cs="Calibri"/>
          <w:b/>
          <w:bCs/>
          <w:noProof w:val="0"/>
          <w:sz w:val="22"/>
          <w:szCs w:val="22"/>
        </w:rPr>
        <w:t>,</w:t>
      </w:r>
      <w:r w:rsidRPr="00524998">
        <w:rPr>
          <w:rFonts w:ascii="Inter" w:hAnsi="Inter" w:cs="Calibri"/>
          <w:noProof w:val="0"/>
          <w:sz w:val="22"/>
          <w:szCs w:val="22"/>
        </w:rPr>
        <w:t xml:space="preserve"> 54-61.</w:t>
      </w:r>
      <w:r w:rsidR="00A47ABD" w:rsidRPr="00524998">
        <w:rPr>
          <w:rFonts w:ascii="Inter" w:hAnsi="Inter" w:cs="Calibri"/>
          <w:sz w:val="22"/>
          <w:szCs w:val="22"/>
        </w:rPr>
        <w:fldChar w:fldCharType="end"/>
      </w:r>
      <w:bookmarkEnd w:id="0"/>
    </w:p>
    <w:sectPr w:rsidR="00A47ABD" w:rsidRPr="00524998" w:rsidSect="00DE027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0A48" w14:textId="77777777" w:rsidR="00CD1716" w:rsidRDefault="00CD1716" w:rsidP="00445064">
      <w:pPr>
        <w:spacing w:after="0" w:line="240" w:lineRule="auto"/>
      </w:pPr>
      <w:r>
        <w:separator/>
      </w:r>
    </w:p>
  </w:endnote>
  <w:endnote w:type="continuationSeparator" w:id="0">
    <w:p w14:paraId="5D082AC8" w14:textId="77777777" w:rsidR="00CD1716" w:rsidRDefault="00CD1716" w:rsidP="0044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78273"/>
      <w:docPartObj>
        <w:docPartGallery w:val="Page Numbers (Bottom of Page)"/>
        <w:docPartUnique/>
      </w:docPartObj>
    </w:sdtPr>
    <w:sdtEndPr>
      <w:rPr>
        <w:noProof/>
      </w:rPr>
    </w:sdtEndPr>
    <w:sdtContent>
      <w:p w14:paraId="61BA6618" w14:textId="6F3C8075" w:rsidR="00524998" w:rsidRDefault="005249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639287" w14:textId="77777777" w:rsidR="00524998" w:rsidRDefault="0052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28CC" w14:textId="77777777" w:rsidR="00CD1716" w:rsidRDefault="00CD1716" w:rsidP="00445064">
      <w:pPr>
        <w:spacing w:after="0" w:line="240" w:lineRule="auto"/>
      </w:pPr>
      <w:r>
        <w:separator/>
      </w:r>
    </w:p>
  </w:footnote>
  <w:footnote w:type="continuationSeparator" w:id="0">
    <w:p w14:paraId="1B751E50" w14:textId="77777777" w:rsidR="00CD1716" w:rsidRDefault="00CD1716" w:rsidP="00445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1CF"/>
    <w:multiLevelType w:val="multilevel"/>
    <w:tmpl w:val="4D923A0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B84C22"/>
    <w:multiLevelType w:val="hybridMultilevel"/>
    <w:tmpl w:val="2B5A9C1E"/>
    <w:lvl w:ilvl="0" w:tplc="26341E8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272D8"/>
    <w:multiLevelType w:val="hybridMultilevel"/>
    <w:tmpl w:val="2956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AF4483"/>
    <w:multiLevelType w:val="multilevel"/>
    <w:tmpl w:val="767C111A"/>
    <w:lvl w:ilvl="0">
      <w:start w:val="1"/>
      <w:numFmt w:val="bullet"/>
      <w:lvlText w:val=""/>
      <w:lvlJc w:val="left"/>
      <w:pPr>
        <w:ind w:left="720" w:hanging="360"/>
      </w:pPr>
      <w:rPr>
        <w:rFonts w:ascii="Symbol" w:hAnsi="Symbol"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D776EB5"/>
    <w:multiLevelType w:val="multilevel"/>
    <w:tmpl w:val="4D923A0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06964E3"/>
    <w:multiLevelType w:val="multilevel"/>
    <w:tmpl w:val="0698646A"/>
    <w:lvl w:ilvl="0">
      <w:start w:val="3"/>
      <w:numFmt w:val="bullet"/>
      <w:lvlText w:val="-"/>
      <w:lvlJc w:val="left"/>
      <w:pPr>
        <w:ind w:left="360" w:hanging="360"/>
      </w:pPr>
      <w:rPr>
        <w:rFonts w:ascii="Aptos" w:eastAsiaTheme="minorHAnsi" w:hAnsi="Aptos" w:cstheme="minorBidi"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34517A8"/>
    <w:multiLevelType w:val="multilevel"/>
    <w:tmpl w:val="F214A0E2"/>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rPr>
    </w:lvl>
    <w:lvl w:ilvl="2">
      <w:numFmt w:val="bullet"/>
      <w:lvlText w:val="–"/>
      <w:lvlJc w:val="left"/>
      <w:pPr>
        <w:ind w:left="1080" w:hanging="360"/>
      </w:pPr>
      <w:rPr>
        <w:rFonts w:ascii="Aptos" w:eastAsiaTheme="minorHAnsi" w:hAnsi="Aptos" w:cstheme="minorBidi"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43B70ED"/>
    <w:multiLevelType w:val="hybridMultilevel"/>
    <w:tmpl w:val="E5B4E9BC"/>
    <w:lvl w:ilvl="0" w:tplc="FC3AD2F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3A4582"/>
    <w:multiLevelType w:val="hybridMultilevel"/>
    <w:tmpl w:val="9E8AA1DE"/>
    <w:lvl w:ilvl="0" w:tplc="CDA27F5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616902"/>
    <w:multiLevelType w:val="multilevel"/>
    <w:tmpl w:val="03589C74"/>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80C495E"/>
    <w:multiLevelType w:val="multilevel"/>
    <w:tmpl w:val="C57CAA1C"/>
    <w:lvl w:ilvl="0">
      <w:start w:val="2"/>
      <w:numFmt w:val="decimal"/>
      <w:lvlText w:val="%1"/>
      <w:lvlJc w:val="left"/>
      <w:pPr>
        <w:ind w:left="460" w:hanging="460"/>
      </w:pPr>
      <w:rPr>
        <w:rFonts w:hint="default"/>
        <w:b/>
      </w:rPr>
    </w:lvl>
    <w:lvl w:ilvl="1">
      <w:start w:val="23"/>
      <w:numFmt w:val="decimal"/>
      <w:lvlText w:val="%1.%2"/>
      <w:lvlJc w:val="left"/>
      <w:pPr>
        <w:ind w:left="460" w:hanging="4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FF52DB7"/>
    <w:multiLevelType w:val="multilevel"/>
    <w:tmpl w:val="767C111A"/>
    <w:lvl w:ilvl="0">
      <w:start w:val="1"/>
      <w:numFmt w:val="bullet"/>
      <w:lvlText w:val=""/>
      <w:lvlJc w:val="left"/>
      <w:pPr>
        <w:ind w:left="720" w:hanging="360"/>
      </w:pPr>
      <w:rPr>
        <w:rFonts w:ascii="Symbol" w:hAnsi="Symbol"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0994B3B"/>
    <w:multiLevelType w:val="hybridMultilevel"/>
    <w:tmpl w:val="20F47DA0"/>
    <w:lvl w:ilvl="0" w:tplc="D8C0F00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A23F1"/>
    <w:multiLevelType w:val="multilevel"/>
    <w:tmpl w:val="767C111A"/>
    <w:lvl w:ilvl="0">
      <w:start w:val="1"/>
      <w:numFmt w:val="bullet"/>
      <w:lvlText w:val=""/>
      <w:lvlJc w:val="left"/>
      <w:pPr>
        <w:ind w:left="720" w:hanging="360"/>
      </w:pPr>
      <w:rPr>
        <w:rFonts w:ascii="Symbol" w:hAnsi="Symbol"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7174593"/>
    <w:multiLevelType w:val="hybridMultilevel"/>
    <w:tmpl w:val="A40CEEC4"/>
    <w:lvl w:ilvl="0" w:tplc="59941DB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137AE"/>
    <w:multiLevelType w:val="multilevel"/>
    <w:tmpl w:val="42809CE4"/>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numFmt w:val="bullet"/>
      <w:lvlText w:val="-"/>
      <w:lvlJc w:val="left"/>
      <w:pPr>
        <w:ind w:left="2160" w:hanging="360"/>
      </w:pPr>
      <w:rPr>
        <w:rFonts w:ascii="Aptos" w:eastAsiaTheme="minorHAnsi" w:hAnsi="Aptos" w:cstheme="minorBidi" w:hint="default"/>
      </w:rPr>
    </w:lvl>
    <w:lvl w:ilvl="5">
      <w:numFmt w:val="bullet"/>
      <w:lvlText w:val="-"/>
      <w:lvlJc w:val="left"/>
      <w:pPr>
        <w:ind w:left="2520" w:hanging="360"/>
      </w:pPr>
      <w:rPr>
        <w:rFonts w:ascii="Aptos" w:eastAsiaTheme="minorHAnsi" w:hAnsi="Aptos" w:cstheme="minorBidi"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7A062CC"/>
    <w:multiLevelType w:val="multilevel"/>
    <w:tmpl w:val="2EDCFF2E"/>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CDC1C01"/>
    <w:multiLevelType w:val="hybridMultilevel"/>
    <w:tmpl w:val="E5E4DF1A"/>
    <w:lvl w:ilvl="0" w:tplc="78803ECE">
      <w:start w:val="3"/>
      <w:numFmt w:val="bullet"/>
      <w:lvlText w:val="-"/>
      <w:lvlJc w:val="left"/>
      <w:pPr>
        <w:ind w:left="2160" w:hanging="360"/>
      </w:pPr>
      <w:rPr>
        <w:rFonts w:ascii="Aptos" w:eastAsiaTheme="minorHAnsi" w:hAnsi="Aptos"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F35501B"/>
    <w:multiLevelType w:val="hybridMultilevel"/>
    <w:tmpl w:val="A3DEF398"/>
    <w:lvl w:ilvl="0" w:tplc="FC3AD2F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AE7A88"/>
    <w:multiLevelType w:val="multilevel"/>
    <w:tmpl w:val="2EDCFF2E"/>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5C13694"/>
    <w:multiLevelType w:val="multilevel"/>
    <w:tmpl w:val="767C111A"/>
    <w:lvl w:ilvl="0">
      <w:start w:val="1"/>
      <w:numFmt w:val="bullet"/>
      <w:lvlText w:val=""/>
      <w:lvlJc w:val="left"/>
      <w:pPr>
        <w:ind w:left="720" w:hanging="360"/>
      </w:pPr>
      <w:rPr>
        <w:rFonts w:ascii="Symbol" w:hAnsi="Symbol"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DC5C42"/>
    <w:multiLevelType w:val="hybridMultilevel"/>
    <w:tmpl w:val="69D6B9BE"/>
    <w:lvl w:ilvl="0" w:tplc="A8FC41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257481">
    <w:abstractNumId w:val="9"/>
  </w:num>
  <w:num w:numId="2" w16cid:durableId="341005689">
    <w:abstractNumId w:val="19"/>
  </w:num>
  <w:num w:numId="3" w16cid:durableId="1014838434">
    <w:abstractNumId w:val="17"/>
  </w:num>
  <w:num w:numId="4" w16cid:durableId="133185676">
    <w:abstractNumId w:val="7"/>
  </w:num>
  <w:num w:numId="5" w16cid:durableId="972058006">
    <w:abstractNumId w:val="10"/>
  </w:num>
  <w:num w:numId="6" w16cid:durableId="1430471131">
    <w:abstractNumId w:val="15"/>
  </w:num>
  <w:num w:numId="7" w16cid:durableId="2011905333">
    <w:abstractNumId w:val="16"/>
  </w:num>
  <w:num w:numId="8" w16cid:durableId="450514034">
    <w:abstractNumId w:val="9"/>
  </w:num>
  <w:num w:numId="9" w16cid:durableId="943653959">
    <w:abstractNumId w:val="9"/>
    <w:lvlOverride w:ilvl="0">
      <w:startOverride w:val="3"/>
    </w:lvlOverride>
    <w:lvlOverride w:ilvl="1">
      <w:startOverride w:val="4"/>
    </w:lvlOverride>
  </w:num>
  <w:num w:numId="10" w16cid:durableId="1195538938">
    <w:abstractNumId w:val="14"/>
  </w:num>
  <w:num w:numId="11" w16cid:durableId="1951281492">
    <w:abstractNumId w:val="1"/>
  </w:num>
  <w:num w:numId="12" w16cid:durableId="388694842">
    <w:abstractNumId w:val="5"/>
  </w:num>
  <w:num w:numId="13" w16cid:durableId="711273813">
    <w:abstractNumId w:val="18"/>
  </w:num>
  <w:num w:numId="14" w16cid:durableId="2123843515">
    <w:abstractNumId w:val="2"/>
  </w:num>
  <w:num w:numId="15" w16cid:durableId="2085948195">
    <w:abstractNumId w:val="8"/>
  </w:num>
  <w:num w:numId="16" w16cid:durableId="820848745">
    <w:abstractNumId w:val="6"/>
  </w:num>
  <w:num w:numId="17" w16cid:durableId="443429701">
    <w:abstractNumId w:val="12"/>
  </w:num>
  <w:num w:numId="18" w16cid:durableId="408818697">
    <w:abstractNumId w:val="21"/>
  </w:num>
  <w:num w:numId="19" w16cid:durableId="83184159">
    <w:abstractNumId w:val="20"/>
  </w:num>
  <w:num w:numId="20" w16cid:durableId="224998331">
    <w:abstractNumId w:val="11"/>
  </w:num>
  <w:num w:numId="21" w16cid:durableId="2133358144">
    <w:abstractNumId w:val="13"/>
  </w:num>
  <w:num w:numId="22" w16cid:durableId="1871526145">
    <w:abstractNumId w:val="3"/>
  </w:num>
  <w:num w:numId="23" w16cid:durableId="498618901">
    <w:abstractNumId w:val="0"/>
  </w:num>
  <w:num w:numId="24" w16cid:durableId="267279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Copy page numb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f22xatlw50reerez5vrpd6rfarfarffe95&quot;&gt;Disso paper library-Saved Copy 14 March 2025 Converted Copy&lt;record-ids&gt;&lt;item&gt;1268&lt;/item&gt;&lt;item&gt;1348&lt;/item&gt;&lt;item&gt;1349&lt;/item&gt;&lt;item&gt;1352&lt;/item&gt;&lt;item&gt;1386&lt;/item&gt;&lt;/record-ids&gt;&lt;/item&gt;&lt;/Libraries&gt;"/>
  </w:docVars>
  <w:rsids>
    <w:rsidRoot w:val="00247E95"/>
    <w:rsid w:val="0000033F"/>
    <w:rsid w:val="00000D48"/>
    <w:rsid w:val="000019EC"/>
    <w:rsid w:val="000024A5"/>
    <w:rsid w:val="0000757D"/>
    <w:rsid w:val="00015307"/>
    <w:rsid w:val="00015C1A"/>
    <w:rsid w:val="000164B2"/>
    <w:rsid w:val="00017C13"/>
    <w:rsid w:val="00024509"/>
    <w:rsid w:val="00026124"/>
    <w:rsid w:val="00030432"/>
    <w:rsid w:val="000341AD"/>
    <w:rsid w:val="00043368"/>
    <w:rsid w:val="000506FD"/>
    <w:rsid w:val="00051D9A"/>
    <w:rsid w:val="000528C5"/>
    <w:rsid w:val="000528DB"/>
    <w:rsid w:val="00052D57"/>
    <w:rsid w:val="0005320A"/>
    <w:rsid w:val="000534EF"/>
    <w:rsid w:val="000575C7"/>
    <w:rsid w:val="0006417D"/>
    <w:rsid w:val="00064C25"/>
    <w:rsid w:val="0006732B"/>
    <w:rsid w:val="00070ECB"/>
    <w:rsid w:val="00070FEB"/>
    <w:rsid w:val="000716A0"/>
    <w:rsid w:val="00071D51"/>
    <w:rsid w:val="00073931"/>
    <w:rsid w:val="00076840"/>
    <w:rsid w:val="00081551"/>
    <w:rsid w:val="00084EA2"/>
    <w:rsid w:val="0008544A"/>
    <w:rsid w:val="00090D4D"/>
    <w:rsid w:val="00090E47"/>
    <w:rsid w:val="00091508"/>
    <w:rsid w:val="00091C6B"/>
    <w:rsid w:val="000940E7"/>
    <w:rsid w:val="000962E7"/>
    <w:rsid w:val="00096B1E"/>
    <w:rsid w:val="000976A8"/>
    <w:rsid w:val="000A347E"/>
    <w:rsid w:val="000B4F12"/>
    <w:rsid w:val="000B5180"/>
    <w:rsid w:val="000B53D8"/>
    <w:rsid w:val="000B7A73"/>
    <w:rsid w:val="000C03BF"/>
    <w:rsid w:val="000C10E2"/>
    <w:rsid w:val="000C244E"/>
    <w:rsid w:val="000C53D1"/>
    <w:rsid w:val="000C642C"/>
    <w:rsid w:val="000C6E17"/>
    <w:rsid w:val="000C7653"/>
    <w:rsid w:val="000D0181"/>
    <w:rsid w:val="000D3CE5"/>
    <w:rsid w:val="000D473A"/>
    <w:rsid w:val="000D6D7C"/>
    <w:rsid w:val="000E5ED7"/>
    <w:rsid w:val="000E73D3"/>
    <w:rsid w:val="000E7617"/>
    <w:rsid w:val="00112C22"/>
    <w:rsid w:val="00114528"/>
    <w:rsid w:val="00115AA8"/>
    <w:rsid w:val="001214AD"/>
    <w:rsid w:val="00122931"/>
    <w:rsid w:val="0012692A"/>
    <w:rsid w:val="00126E66"/>
    <w:rsid w:val="00127753"/>
    <w:rsid w:val="001312BD"/>
    <w:rsid w:val="00133C34"/>
    <w:rsid w:val="00134C3E"/>
    <w:rsid w:val="00135BB6"/>
    <w:rsid w:val="00137AFA"/>
    <w:rsid w:val="00143913"/>
    <w:rsid w:val="00152138"/>
    <w:rsid w:val="00152DFC"/>
    <w:rsid w:val="00155B16"/>
    <w:rsid w:val="00155C30"/>
    <w:rsid w:val="00157E95"/>
    <w:rsid w:val="00162CBF"/>
    <w:rsid w:val="00164A9F"/>
    <w:rsid w:val="00165A32"/>
    <w:rsid w:val="00177EE1"/>
    <w:rsid w:val="00180AFC"/>
    <w:rsid w:val="00181841"/>
    <w:rsid w:val="00182DA1"/>
    <w:rsid w:val="00185B5E"/>
    <w:rsid w:val="0018622F"/>
    <w:rsid w:val="0018665F"/>
    <w:rsid w:val="001919C1"/>
    <w:rsid w:val="00191AB6"/>
    <w:rsid w:val="0019403F"/>
    <w:rsid w:val="00194921"/>
    <w:rsid w:val="0019579D"/>
    <w:rsid w:val="00195A94"/>
    <w:rsid w:val="00196378"/>
    <w:rsid w:val="001A10E9"/>
    <w:rsid w:val="001A6EE8"/>
    <w:rsid w:val="001A6F1F"/>
    <w:rsid w:val="001B1CB1"/>
    <w:rsid w:val="001B435D"/>
    <w:rsid w:val="001B60F3"/>
    <w:rsid w:val="001C2273"/>
    <w:rsid w:val="001C2E4B"/>
    <w:rsid w:val="001D0E51"/>
    <w:rsid w:val="001D20C3"/>
    <w:rsid w:val="001D4B43"/>
    <w:rsid w:val="001D70A7"/>
    <w:rsid w:val="001E0FA2"/>
    <w:rsid w:val="001E1931"/>
    <w:rsid w:val="001E44BC"/>
    <w:rsid w:val="001E7214"/>
    <w:rsid w:val="001E7ED3"/>
    <w:rsid w:val="001F40DF"/>
    <w:rsid w:val="001F50A2"/>
    <w:rsid w:val="001F6CD9"/>
    <w:rsid w:val="001F75A6"/>
    <w:rsid w:val="001F7EC3"/>
    <w:rsid w:val="00207FAF"/>
    <w:rsid w:val="00214E2B"/>
    <w:rsid w:val="002156D2"/>
    <w:rsid w:val="002223D3"/>
    <w:rsid w:val="00225AEE"/>
    <w:rsid w:val="00225F15"/>
    <w:rsid w:val="00234A63"/>
    <w:rsid w:val="00237CE7"/>
    <w:rsid w:val="002406E1"/>
    <w:rsid w:val="00247E95"/>
    <w:rsid w:val="002553DD"/>
    <w:rsid w:val="00256175"/>
    <w:rsid w:val="0025777D"/>
    <w:rsid w:val="00260918"/>
    <w:rsid w:val="00261CB5"/>
    <w:rsid w:val="0026278F"/>
    <w:rsid w:val="002630CC"/>
    <w:rsid w:val="00266626"/>
    <w:rsid w:val="00266B5E"/>
    <w:rsid w:val="00275D9E"/>
    <w:rsid w:val="0027701F"/>
    <w:rsid w:val="00280CBB"/>
    <w:rsid w:val="00283A5F"/>
    <w:rsid w:val="00283FDF"/>
    <w:rsid w:val="0028482F"/>
    <w:rsid w:val="00290470"/>
    <w:rsid w:val="00294763"/>
    <w:rsid w:val="002956FD"/>
    <w:rsid w:val="002965D0"/>
    <w:rsid w:val="002A0221"/>
    <w:rsid w:val="002A06AB"/>
    <w:rsid w:val="002A144E"/>
    <w:rsid w:val="002A1AE9"/>
    <w:rsid w:val="002A1D23"/>
    <w:rsid w:val="002A3AC8"/>
    <w:rsid w:val="002B0460"/>
    <w:rsid w:val="002C13B8"/>
    <w:rsid w:val="002C35F8"/>
    <w:rsid w:val="002C6F10"/>
    <w:rsid w:val="002D1690"/>
    <w:rsid w:val="002D3839"/>
    <w:rsid w:val="002D6339"/>
    <w:rsid w:val="002D736A"/>
    <w:rsid w:val="002E4C5B"/>
    <w:rsid w:val="002E542D"/>
    <w:rsid w:val="002E764D"/>
    <w:rsid w:val="002F2C80"/>
    <w:rsid w:val="002F4399"/>
    <w:rsid w:val="002F5301"/>
    <w:rsid w:val="002F6DB7"/>
    <w:rsid w:val="002F7021"/>
    <w:rsid w:val="002F7C09"/>
    <w:rsid w:val="003053C4"/>
    <w:rsid w:val="0031166F"/>
    <w:rsid w:val="003131E6"/>
    <w:rsid w:val="0031519E"/>
    <w:rsid w:val="00315DC8"/>
    <w:rsid w:val="0033290E"/>
    <w:rsid w:val="00333E99"/>
    <w:rsid w:val="00341AFD"/>
    <w:rsid w:val="00343177"/>
    <w:rsid w:val="00343D8D"/>
    <w:rsid w:val="00343FC9"/>
    <w:rsid w:val="0034484F"/>
    <w:rsid w:val="003448DB"/>
    <w:rsid w:val="00350246"/>
    <w:rsid w:val="0035200E"/>
    <w:rsid w:val="00352F93"/>
    <w:rsid w:val="00355461"/>
    <w:rsid w:val="00361150"/>
    <w:rsid w:val="00362D50"/>
    <w:rsid w:val="00362F6C"/>
    <w:rsid w:val="00363956"/>
    <w:rsid w:val="003650A8"/>
    <w:rsid w:val="0037408F"/>
    <w:rsid w:val="00374CCA"/>
    <w:rsid w:val="003769C0"/>
    <w:rsid w:val="003772A1"/>
    <w:rsid w:val="00380D73"/>
    <w:rsid w:val="003822C6"/>
    <w:rsid w:val="003845A6"/>
    <w:rsid w:val="00386D83"/>
    <w:rsid w:val="00390DB1"/>
    <w:rsid w:val="003927ED"/>
    <w:rsid w:val="00392D8B"/>
    <w:rsid w:val="00393FE8"/>
    <w:rsid w:val="0039443C"/>
    <w:rsid w:val="003A3203"/>
    <w:rsid w:val="003A41F8"/>
    <w:rsid w:val="003A4F84"/>
    <w:rsid w:val="003A6C61"/>
    <w:rsid w:val="003B2022"/>
    <w:rsid w:val="003B2B99"/>
    <w:rsid w:val="003B3C75"/>
    <w:rsid w:val="003B3E80"/>
    <w:rsid w:val="003C0817"/>
    <w:rsid w:val="003C0CF8"/>
    <w:rsid w:val="003C4558"/>
    <w:rsid w:val="003C559C"/>
    <w:rsid w:val="003C6787"/>
    <w:rsid w:val="003C70E1"/>
    <w:rsid w:val="003C73D8"/>
    <w:rsid w:val="003D1063"/>
    <w:rsid w:val="003D137E"/>
    <w:rsid w:val="003D23EF"/>
    <w:rsid w:val="003D2B6C"/>
    <w:rsid w:val="003D3B74"/>
    <w:rsid w:val="003D50D4"/>
    <w:rsid w:val="003D6845"/>
    <w:rsid w:val="003E1581"/>
    <w:rsid w:val="003E2086"/>
    <w:rsid w:val="003E3F0F"/>
    <w:rsid w:val="003E622B"/>
    <w:rsid w:val="003E67C3"/>
    <w:rsid w:val="003E7E74"/>
    <w:rsid w:val="003F2F74"/>
    <w:rsid w:val="003F379F"/>
    <w:rsid w:val="003F44A1"/>
    <w:rsid w:val="003F5273"/>
    <w:rsid w:val="00400F34"/>
    <w:rsid w:val="00403189"/>
    <w:rsid w:val="004079DD"/>
    <w:rsid w:val="0041186F"/>
    <w:rsid w:val="00411945"/>
    <w:rsid w:val="004222CB"/>
    <w:rsid w:val="0043174A"/>
    <w:rsid w:val="00437510"/>
    <w:rsid w:val="00445064"/>
    <w:rsid w:val="0044755F"/>
    <w:rsid w:val="00452658"/>
    <w:rsid w:val="00454E3E"/>
    <w:rsid w:val="00455F43"/>
    <w:rsid w:val="00457DE2"/>
    <w:rsid w:val="00457ED9"/>
    <w:rsid w:val="00471FAA"/>
    <w:rsid w:val="00472452"/>
    <w:rsid w:val="0047392D"/>
    <w:rsid w:val="00482563"/>
    <w:rsid w:val="004826CB"/>
    <w:rsid w:val="00483B90"/>
    <w:rsid w:val="00483F16"/>
    <w:rsid w:val="00494ED2"/>
    <w:rsid w:val="004A0591"/>
    <w:rsid w:val="004A2A01"/>
    <w:rsid w:val="004A6040"/>
    <w:rsid w:val="004A6436"/>
    <w:rsid w:val="004B1FD5"/>
    <w:rsid w:val="004C112A"/>
    <w:rsid w:val="004D0588"/>
    <w:rsid w:val="004D5363"/>
    <w:rsid w:val="004D5874"/>
    <w:rsid w:val="004D5FC8"/>
    <w:rsid w:val="004D6FDE"/>
    <w:rsid w:val="004D76D2"/>
    <w:rsid w:val="004D7AB0"/>
    <w:rsid w:val="004D7F33"/>
    <w:rsid w:val="004E2935"/>
    <w:rsid w:val="004E5DD7"/>
    <w:rsid w:val="004F126D"/>
    <w:rsid w:val="004F2ACD"/>
    <w:rsid w:val="004F3BC8"/>
    <w:rsid w:val="004F7658"/>
    <w:rsid w:val="004F78B3"/>
    <w:rsid w:val="00504A7B"/>
    <w:rsid w:val="005063D5"/>
    <w:rsid w:val="0051102D"/>
    <w:rsid w:val="00513F10"/>
    <w:rsid w:val="00517C3E"/>
    <w:rsid w:val="005232D8"/>
    <w:rsid w:val="00524998"/>
    <w:rsid w:val="00525153"/>
    <w:rsid w:val="00525290"/>
    <w:rsid w:val="00525549"/>
    <w:rsid w:val="00530C58"/>
    <w:rsid w:val="00531DC9"/>
    <w:rsid w:val="00532429"/>
    <w:rsid w:val="00533051"/>
    <w:rsid w:val="00534E31"/>
    <w:rsid w:val="00536687"/>
    <w:rsid w:val="00537190"/>
    <w:rsid w:val="00543186"/>
    <w:rsid w:val="00543328"/>
    <w:rsid w:val="005652D8"/>
    <w:rsid w:val="005713E0"/>
    <w:rsid w:val="005729C6"/>
    <w:rsid w:val="00572FA7"/>
    <w:rsid w:val="00576770"/>
    <w:rsid w:val="00583681"/>
    <w:rsid w:val="005839C2"/>
    <w:rsid w:val="00586277"/>
    <w:rsid w:val="005871EC"/>
    <w:rsid w:val="00590E6D"/>
    <w:rsid w:val="0059125C"/>
    <w:rsid w:val="0059432A"/>
    <w:rsid w:val="00596C89"/>
    <w:rsid w:val="005A0825"/>
    <w:rsid w:val="005A1ACC"/>
    <w:rsid w:val="005A1B7F"/>
    <w:rsid w:val="005A585C"/>
    <w:rsid w:val="005A6418"/>
    <w:rsid w:val="005A6487"/>
    <w:rsid w:val="005A76E4"/>
    <w:rsid w:val="005A7FA3"/>
    <w:rsid w:val="005B1299"/>
    <w:rsid w:val="005B272C"/>
    <w:rsid w:val="005B3DB1"/>
    <w:rsid w:val="005B7595"/>
    <w:rsid w:val="005C01C7"/>
    <w:rsid w:val="005C1268"/>
    <w:rsid w:val="005C6D8A"/>
    <w:rsid w:val="005D0FBC"/>
    <w:rsid w:val="005D70F7"/>
    <w:rsid w:val="005E3264"/>
    <w:rsid w:val="005F2E94"/>
    <w:rsid w:val="006007A6"/>
    <w:rsid w:val="006036F9"/>
    <w:rsid w:val="00620F4F"/>
    <w:rsid w:val="00622871"/>
    <w:rsid w:val="006247C8"/>
    <w:rsid w:val="006345EE"/>
    <w:rsid w:val="006368DA"/>
    <w:rsid w:val="00641DDE"/>
    <w:rsid w:val="00642C7F"/>
    <w:rsid w:val="00650F82"/>
    <w:rsid w:val="00656DB9"/>
    <w:rsid w:val="006575E5"/>
    <w:rsid w:val="00661E18"/>
    <w:rsid w:val="00664AB2"/>
    <w:rsid w:val="00665C4E"/>
    <w:rsid w:val="006744EA"/>
    <w:rsid w:val="006771F5"/>
    <w:rsid w:val="00682C13"/>
    <w:rsid w:val="00687E3B"/>
    <w:rsid w:val="00693E81"/>
    <w:rsid w:val="00694971"/>
    <w:rsid w:val="00694E14"/>
    <w:rsid w:val="0069521E"/>
    <w:rsid w:val="006A4322"/>
    <w:rsid w:val="006A4B39"/>
    <w:rsid w:val="006A4D04"/>
    <w:rsid w:val="006A51BD"/>
    <w:rsid w:val="006A77A2"/>
    <w:rsid w:val="006B243A"/>
    <w:rsid w:val="006B3303"/>
    <w:rsid w:val="006B3403"/>
    <w:rsid w:val="006B3E06"/>
    <w:rsid w:val="006B63C0"/>
    <w:rsid w:val="006B7DC5"/>
    <w:rsid w:val="006C2DA9"/>
    <w:rsid w:val="006C54D2"/>
    <w:rsid w:val="006D290C"/>
    <w:rsid w:val="006D4D8D"/>
    <w:rsid w:val="006D5465"/>
    <w:rsid w:val="006D55B0"/>
    <w:rsid w:val="006E062F"/>
    <w:rsid w:val="006E0F62"/>
    <w:rsid w:val="006E23FA"/>
    <w:rsid w:val="006E2FBE"/>
    <w:rsid w:val="006E530F"/>
    <w:rsid w:val="006F491D"/>
    <w:rsid w:val="006F72EC"/>
    <w:rsid w:val="00701713"/>
    <w:rsid w:val="00703CEC"/>
    <w:rsid w:val="0070729B"/>
    <w:rsid w:val="0071307B"/>
    <w:rsid w:val="0071569B"/>
    <w:rsid w:val="00715F44"/>
    <w:rsid w:val="0072449E"/>
    <w:rsid w:val="00727E31"/>
    <w:rsid w:val="007310D9"/>
    <w:rsid w:val="00734CC7"/>
    <w:rsid w:val="00735003"/>
    <w:rsid w:val="00737652"/>
    <w:rsid w:val="00737909"/>
    <w:rsid w:val="00737E04"/>
    <w:rsid w:val="007443C9"/>
    <w:rsid w:val="00752993"/>
    <w:rsid w:val="0075626C"/>
    <w:rsid w:val="007568CC"/>
    <w:rsid w:val="00765D5C"/>
    <w:rsid w:val="00766A49"/>
    <w:rsid w:val="00771D89"/>
    <w:rsid w:val="0077427B"/>
    <w:rsid w:val="00775BDC"/>
    <w:rsid w:val="00777928"/>
    <w:rsid w:val="007859B1"/>
    <w:rsid w:val="00787792"/>
    <w:rsid w:val="00787CB0"/>
    <w:rsid w:val="00787D73"/>
    <w:rsid w:val="00791607"/>
    <w:rsid w:val="00793500"/>
    <w:rsid w:val="00793C86"/>
    <w:rsid w:val="007A0C7D"/>
    <w:rsid w:val="007A4A89"/>
    <w:rsid w:val="007A5430"/>
    <w:rsid w:val="007A5AAE"/>
    <w:rsid w:val="007B4766"/>
    <w:rsid w:val="007B73AF"/>
    <w:rsid w:val="007C4376"/>
    <w:rsid w:val="007D3DB8"/>
    <w:rsid w:val="007D5292"/>
    <w:rsid w:val="007D5694"/>
    <w:rsid w:val="007D7992"/>
    <w:rsid w:val="007E0960"/>
    <w:rsid w:val="007E2AFD"/>
    <w:rsid w:val="007E3976"/>
    <w:rsid w:val="007E5646"/>
    <w:rsid w:val="007E6027"/>
    <w:rsid w:val="007F522C"/>
    <w:rsid w:val="00801DC5"/>
    <w:rsid w:val="008029B3"/>
    <w:rsid w:val="00805A9A"/>
    <w:rsid w:val="0081276A"/>
    <w:rsid w:val="008135B2"/>
    <w:rsid w:val="00825963"/>
    <w:rsid w:val="00826DFA"/>
    <w:rsid w:val="00830E38"/>
    <w:rsid w:val="00832209"/>
    <w:rsid w:val="0083283A"/>
    <w:rsid w:val="00835255"/>
    <w:rsid w:val="00843B7F"/>
    <w:rsid w:val="00844549"/>
    <w:rsid w:val="0084459F"/>
    <w:rsid w:val="00844AF9"/>
    <w:rsid w:val="0084740B"/>
    <w:rsid w:val="0084BC23"/>
    <w:rsid w:val="008518F1"/>
    <w:rsid w:val="0085609E"/>
    <w:rsid w:val="008572B6"/>
    <w:rsid w:val="008614A2"/>
    <w:rsid w:val="00862E01"/>
    <w:rsid w:val="00867A84"/>
    <w:rsid w:val="00871D0C"/>
    <w:rsid w:val="00873DB7"/>
    <w:rsid w:val="00875BF7"/>
    <w:rsid w:val="00886C54"/>
    <w:rsid w:val="00890166"/>
    <w:rsid w:val="008913A8"/>
    <w:rsid w:val="008941FB"/>
    <w:rsid w:val="00895F82"/>
    <w:rsid w:val="008A17E2"/>
    <w:rsid w:val="008B2B50"/>
    <w:rsid w:val="008B461D"/>
    <w:rsid w:val="008C0D2E"/>
    <w:rsid w:val="008C53AB"/>
    <w:rsid w:val="008D02B6"/>
    <w:rsid w:val="008D254F"/>
    <w:rsid w:val="008D3432"/>
    <w:rsid w:val="008D4022"/>
    <w:rsid w:val="008E099D"/>
    <w:rsid w:val="008E5F63"/>
    <w:rsid w:val="008E7FC0"/>
    <w:rsid w:val="008F0729"/>
    <w:rsid w:val="008F1A56"/>
    <w:rsid w:val="008F4353"/>
    <w:rsid w:val="008F6378"/>
    <w:rsid w:val="008F788C"/>
    <w:rsid w:val="008F7D7F"/>
    <w:rsid w:val="00900564"/>
    <w:rsid w:val="00900BE6"/>
    <w:rsid w:val="00906805"/>
    <w:rsid w:val="00910A6F"/>
    <w:rsid w:val="00912CE8"/>
    <w:rsid w:val="00930A36"/>
    <w:rsid w:val="00931F9D"/>
    <w:rsid w:val="009354B2"/>
    <w:rsid w:val="00935A66"/>
    <w:rsid w:val="00937107"/>
    <w:rsid w:val="00941293"/>
    <w:rsid w:val="00942FAA"/>
    <w:rsid w:val="00944729"/>
    <w:rsid w:val="00951512"/>
    <w:rsid w:val="009536C1"/>
    <w:rsid w:val="00954704"/>
    <w:rsid w:val="00955D5B"/>
    <w:rsid w:val="0095625E"/>
    <w:rsid w:val="00956D2C"/>
    <w:rsid w:val="00961687"/>
    <w:rsid w:val="00961DB7"/>
    <w:rsid w:val="00963675"/>
    <w:rsid w:val="009670F7"/>
    <w:rsid w:val="00967C15"/>
    <w:rsid w:val="00972057"/>
    <w:rsid w:val="00976031"/>
    <w:rsid w:val="00977146"/>
    <w:rsid w:val="0098255B"/>
    <w:rsid w:val="009841F0"/>
    <w:rsid w:val="00984644"/>
    <w:rsid w:val="00992CA1"/>
    <w:rsid w:val="00992D58"/>
    <w:rsid w:val="009956B0"/>
    <w:rsid w:val="00997536"/>
    <w:rsid w:val="009A32D9"/>
    <w:rsid w:val="009A3938"/>
    <w:rsid w:val="009A5435"/>
    <w:rsid w:val="009A7470"/>
    <w:rsid w:val="009A7DB1"/>
    <w:rsid w:val="009B3215"/>
    <w:rsid w:val="009B3660"/>
    <w:rsid w:val="009B730E"/>
    <w:rsid w:val="009B7797"/>
    <w:rsid w:val="009C151E"/>
    <w:rsid w:val="009C1976"/>
    <w:rsid w:val="009D1379"/>
    <w:rsid w:val="009D1662"/>
    <w:rsid w:val="009D1875"/>
    <w:rsid w:val="009D3244"/>
    <w:rsid w:val="009D4483"/>
    <w:rsid w:val="009D5252"/>
    <w:rsid w:val="009D7A79"/>
    <w:rsid w:val="009E1652"/>
    <w:rsid w:val="009E16A1"/>
    <w:rsid w:val="009E1EC3"/>
    <w:rsid w:val="009E412A"/>
    <w:rsid w:val="009E5761"/>
    <w:rsid w:val="009E5C17"/>
    <w:rsid w:val="009E5E27"/>
    <w:rsid w:val="009F04EE"/>
    <w:rsid w:val="009F09D9"/>
    <w:rsid w:val="009F0CD2"/>
    <w:rsid w:val="009F204B"/>
    <w:rsid w:val="00A02146"/>
    <w:rsid w:val="00A04290"/>
    <w:rsid w:val="00A121C4"/>
    <w:rsid w:val="00A12296"/>
    <w:rsid w:val="00A14631"/>
    <w:rsid w:val="00A15114"/>
    <w:rsid w:val="00A17888"/>
    <w:rsid w:val="00A17DBE"/>
    <w:rsid w:val="00A20EE4"/>
    <w:rsid w:val="00A214DC"/>
    <w:rsid w:val="00A41AEA"/>
    <w:rsid w:val="00A44590"/>
    <w:rsid w:val="00A47ABD"/>
    <w:rsid w:val="00A47DE2"/>
    <w:rsid w:val="00A50F65"/>
    <w:rsid w:val="00A552EC"/>
    <w:rsid w:val="00A56B21"/>
    <w:rsid w:val="00A60343"/>
    <w:rsid w:val="00A61009"/>
    <w:rsid w:val="00A63B72"/>
    <w:rsid w:val="00A65829"/>
    <w:rsid w:val="00A65FAC"/>
    <w:rsid w:val="00A671B9"/>
    <w:rsid w:val="00A750AE"/>
    <w:rsid w:val="00A91991"/>
    <w:rsid w:val="00A92EDC"/>
    <w:rsid w:val="00A95BA8"/>
    <w:rsid w:val="00A960BB"/>
    <w:rsid w:val="00AA3892"/>
    <w:rsid w:val="00AA63D9"/>
    <w:rsid w:val="00AA67EC"/>
    <w:rsid w:val="00AA6ED7"/>
    <w:rsid w:val="00AB0956"/>
    <w:rsid w:val="00AB4EDB"/>
    <w:rsid w:val="00AC0190"/>
    <w:rsid w:val="00AC04C1"/>
    <w:rsid w:val="00AC318A"/>
    <w:rsid w:val="00AC32E7"/>
    <w:rsid w:val="00AC6C12"/>
    <w:rsid w:val="00AC773C"/>
    <w:rsid w:val="00AD0308"/>
    <w:rsid w:val="00AD3787"/>
    <w:rsid w:val="00AD3EDB"/>
    <w:rsid w:val="00AD56CD"/>
    <w:rsid w:val="00AD7266"/>
    <w:rsid w:val="00AE0C24"/>
    <w:rsid w:val="00AF1353"/>
    <w:rsid w:val="00AF23AF"/>
    <w:rsid w:val="00AF28F2"/>
    <w:rsid w:val="00AF6489"/>
    <w:rsid w:val="00AF6ACF"/>
    <w:rsid w:val="00B0293F"/>
    <w:rsid w:val="00B0329E"/>
    <w:rsid w:val="00B03843"/>
    <w:rsid w:val="00B03C34"/>
    <w:rsid w:val="00B04C3F"/>
    <w:rsid w:val="00B12B9D"/>
    <w:rsid w:val="00B131D4"/>
    <w:rsid w:val="00B17A84"/>
    <w:rsid w:val="00B201E2"/>
    <w:rsid w:val="00B216B4"/>
    <w:rsid w:val="00B2249D"/>
    <w:rsid w:val="00B226E3"/>
    <w:rsid w:val="00B26D45"/>
    <w:rsid w:val="00B274E5"/>
    <w:rsid w:val="00B30588"/>
    <w:rsid w:val="00B3639B"/>
    <w:rsid w:val="00B416AC"/>
    <w:rsid w:val="00B444A0"/>
    <w:rsid w:val="00B454A6"/>
    <w:rsid w:val="00B45E37"/>
    <w:rsid w:val="00B519EE"/>
    <w:rsid w:val="00B54ACE"/>
    <w:rsid w:val="00B54F31"/>
    <w:rsid w:val="00B5588A"/>
    <w:rsid w:val="00B56E1E"/>
    <w:rsid w:val="00B661CC"/>
    <w:rsid w:val="00B66378"/>
    <w:rsid w:val="00B7085C"/>
    <w:rsid w:val="00B70E10"/>
    <w:rsid w:val="00B72704"/>
    <w:rsid w:val="00B750E7"/>
    <w:rsid w:val="00B76F5E"/>
    <w:rsid w:val="00B916DB"/>
    <w:rsid w:val="00B94EAF"/>
    <w:rsid w:val="00B960BD"/>
    <w:rsid w:val="00BA1C94"/>
    <w:rsid w:val="00BA548A"/>
    <w:rsid w:val="00BB263B"/>
    <w:rsid w:val="00BD4B96"/>
    <w:rsid w:val="00BD71B5"/>
    <w:rsid w:val="00BE0FE4"/>
    <w:rsid w:val="00BE11F0"/>
    <w:rsid w:val="00BE202D"/>
    <w:rsid w:val="00BE2915"/>
    <w:rsid w:val="00BE52E3"/>
    <w:rsid w:val="00BE74C7"/>
    <w:rsid w:val="00BF4330"/>
    <w:rsid w:val="00BF553D"/>
    <w:rsid w:val="00BF65C8"/>
    <w:rsid w:val="00C11C88"/>
    <w:rsid w:val="00C12EED"/>
    <w:rsid w:val="00C14117"/>
    <w:rsid w:val="00C20120"/>
    <w:rsid w:val="00C246BA"/>
    <w:rsid w:val="00C24777"/>
    <w:rsid w:val="00C24DA8"/>
    <w:rsid w:val="00C2631E"/>
    <w:rsid w:val="00C2726A"/>
    <w:rsid w:val="00C31A91"/>
    <w:rsid w:val="00C3215A"/>
    <w:rsid w:val="00C347F5"/>
    <w:rsid w:val="00C41989"/>
    <w:rsid w:val="00C42792"/>
    <w:rsid w:val="00C4385A"/>
    <w:rsid w:val="00C43F85"/>
    <w:rsid w:val="00C53E08"/>
    <w:rsid w:val="00C57A93"/>
    <w:rsid w:val="00C621E7"/>
    <w:rsid w:val="00C7078F"/>
    <w:rsid w:val="00C723DF"/>
    <w:rsid w:val="00C7698B"/>
    <w:rsid w:val="00C77142"/>
    <w:rsid w:val="00C80204"/>
    <w:rsid w:val="00C836A9"/>
    <w:rsid w:val="00C8461B"/>
    <w:rsid w:val="00C84A9B"/>
    <w:rsid w:val="00C860B9"/>
    <w:rsid w:val="00C90B22"/>
    <w:rsid w:val="00C93BC3"/>
    <w:rsid w:val="00C94BBE"/>
    <w:rsid w:val="00CA3E22"/>
    <w:rsid w:val="00CA494C"/>
    <w:rsid w:val="00CA5CB6"/>
    <w:rsid w:val="00CA71CF"/>
    <w:rsid w:val="00CC12BC"/>
    <w:rsid w:val="00CC1CD0"/>
    <w:rsid w:val="00CC1EAB"/>
    <w:rsid w:val="00CC2117"/>
    <w:rsid w:val="00CC4A5C"/>
    <w:rsid w:val="00CC7A2E"/>
    <w:rsid w:val="00CD1716"/>
    <w:rsid w:val="00CD3A40"/>
    <w:rsid w:val="00CD3EC2"/>
    <w:rsid w:val="00CD3F43"/>
    <w:rsid w:val="00CD3F4D"/>
    <w:rsid w:val="00CD4078"/>
    <w:rsid w:val="00CD4B52"/>
    <w:rsid w:val="00CE6680"/>
    <w:rsid w:val="00CF43EC"/>
    <w:rsid w:val="00D050D5"/>
    <w:rsid w:val="00D078A5"/>
    <w:rsid w:val="00D11120"/>
    <w:rsid w:val="00D14662"/>
    <w:rsid w:val="00D17004"/>
    <w:rsid w:val="00D17539"/>
    <w:rsid w:val="00D2189C"/>
    <w:rsid w:val="00D22FF1"/>
    <w:rsid w:val="00D236B2"/>
    <w:rsid w:val="00D2742F"/>
    <w:rsid w:val="00D32A05"/>
    <w:rsid w:val="00D32EE9"/>
    <w:rsid w:val="00D375C8"/>
    <w:rsid w:val="00D43462"/>
    <w:rsid w:val="00D452C2"/>
    <w:rsid w:val="00D479F0"/>
    <w:rsid w:val="00D51A39"/>
    <w:rsid w:val="00D52471"/>
    <w:rsid w:val="00D545A0"/>
    <w:rsid w:val="00D5487F"/>
    <w:rsid w:val="00D649B6"/>
    <w:rsid w:val="00D65221"/>
    <w:rsid w:val="00D66B50"/>
    <w:rsid w:val="00D7012F"/>
    <w:rsid w:val="00D769D7"/>
    <w:rsid w:val="00D813E2"/>
    <w:rsid w:val="00D81700"/>
    <w:rsid w:val="00D82DDF"/>
    <w:rsid w:val="00D920F7"/>
    <w:rsid w:val="00D957A3"/>
    <w:rsid w:val="00DA1F7E"/>
    <w:rsid w:val="00DA2BCA"/>
    <w:rsid w:val="00DA4357"/>
    <w:rsid w:val="00DA539A"/>
    <w:rsid w:val="00DA6F38"/>
    <w:rsid w:val="00DB489A"/>
    <w:rsid w:val="00DB4FCF"/>
    <w:rsid w:val="00DB55C3"/>
    <w:rsid w:val="00DC191E"/>
    <w:rsid w:val="00DC2041"/>
    <w:rsid w:val="00DC5B36"/>
    <w:rsid w:val="00DD05EF"/>
    <w:rsid w:val="00DD0896"/>
    <w:rsid w:val="00DD1AC4"/>
    <w:rsid w:val="00DD2B34"/>
    <w:rsid w:val="00DD6AFE"/>
    <w:rsid w:val="00DE0270"/>
    <w:rsid w:val="00DE3F14"/>
    <w:rsid w:val="00DE5AA6"/>
    <w:rsid w:val="00DF2F00"/>
    <w:rsid w:val="00DF6F13"/>
    <w:rsid w:val="00DF7466"/>
    <w:rsid w:val="00E01976"/>
    <w:rsid w:val="00E0479A"/>
    <w:rsid w:val="00E058B5"/>
    <w:rsid w:val="00E068CB"/>
    <w:rsid w:val="00E06C68"/>
    <w:rsid w:val="00E101E1"/>
    <w:rsid w:val="00E117A5"/>
    <w:rsid w:val="00E128E5"/>
    <w:rsid w:val="00E170D6"/>
    <w:rsid w:val="00E27B4C"/>
    <w:rsid w:val="00E324E2"/>
    <w:rsid w:val="00E33DC2"/>
    <w:rsid w:val="00E350E1"/>
    <w:rsid w:val="00E35226"/>
    <w:rsid w:val="00E36222"/>
    <w:rsid w:val="00E409AE"/>
    <w:rsid w:val="00E62213"/>
    <w:rsid w:val="00E64298"/>
    <w:rsid w:val="00E652FA"/>
    <w:rsid w:val="00E65A3A"/>
    <w:rsid w:val="00E67553"/>
    <w:rsid w:val="00E71E02"/>
    <w:rsid w:val="00E725FF"/>
    <w:rsid w:val="00E74BCF"/>
    <w:rsid w:val="00E74E4D"/>
    <w:rsid w:val="00E76502"/>
    <w:rsid w:val="00E821DC"/>
    <w:rsid w:val="00E8442A"/>
    <w:rsid w:val="00E85986"/>
    <w:rsid w:val="00E87439"/>
    <w:rsid w:val="00E87E34"/>
    <w:rsid w:val="00E90B52"/>
    <w:rsid w:val="00E91F7D"/>
    <w:rsid w:val="00E92126"/>
    <w:rsid w:val="00E97106"/>
    <w:rsid w:val="00EA2522"/>
    <w:rsid w:val="00EA36E8"/>
    <w:rsid w:val="00EA58AA"/>
    <w:rsid w:val="00EB18DD"/>
    <w:rsid w:val="00EB500E"/>
    <w:rsid w:val="00EC1367"/>
    <w:rsid w:val="00EC2202"/>
    <w:rsid w:val="00EC430B"/>
    <w:rsid w:val="00EE0C49"/>
    <w:rsid w:val="00EE14A2"/>
    <w:rsid w:val="00EE17AE"/>
    <w:rsid w:val="00EE22E7"/>
    <w:rsid w:val="00EE3CEF"/>
    <w:rsid w:val="00EE4EE7"/>
    <w:rsid w:val="00EE5EF2"/>
    <w:rsid w:val="00EE6235"/>
    <w:rsid w:val="00EE7215"/>
    <w:rsid w:val="00EF1959"/>
    <w:rsid w:val="00EF4268"/>
    <w:rsid w:val="00EF44D3"/>
    <w:rsid w:val="00EF75E7"/>
    <w:rsid w:val="00F021B9"/>
    <w:rsid w:val="00F06FDC"/>
    <w:rsid w:val="00F104C9"/>
    <w:rsid w:val="00F11692"/>
    <w:rsid w:val="00F124D0"/>
    <w:rsid w:val="00F1409C"/>
    <w:rsid w:val="00F23069"/>
    <w:rsid w:val="00F2620C"/>
    <w:rsid w:val="00F31B6C"/>
    <w:rsid w:val="00F31DCA"/>
    <w:rsid w:val="00F34AA3"/>
    <w:rsid w:val="00F3544B"/>
    <w:rsid w:val="00F35554"/>
    <w:rsid w:val="00F408A5"/>
    <w:rsid w:val="00F54B0C"/>
    <w:rsid w:val="00F55629"/>
    <w:rsid w:val="00F557B0"/>
    <w:rsid w:val="00F55A62"/>
    <w:rsid w:val="00F55EC4"/>
    <w:rsid w:val="00F61C27"/>
    <w:rsid w:val="00F63E69"/>
    <w:rsid w:val="00F6562E"/>
    <w:rsid w:val="00F66622"/>
    <w:rsid w:val="00F700C1"/>
    <w:rsid w:val="00F70A0D"/>
    <w:rsid w:val="00F7333F"/>
    <w:rsid w:val="00F82BDF"/>
    <w:rsid w:val="00F851B0"/>
    <w:rsid w:val="00F87007"/>
    <w:rsid w:val="00F904FC"/>
    <w:rsid w:val="00F91464"/>
    <w:rsid w:val="00F91FBB"/>
    <w:rsid w:val="00F93A21"/>
    <w:rsid w:val="00F948AC"/>
    <w:rsid w:val="00F96195"/>
    <w:rsid w:val="00FA0017"/>
    <w:rsid w:val="00FA1D68"/>
    <w:rsid w:val="00FA72BA"/>
    <w:rsid w:val="00FA7A16"/>
    <w:rsid w:val="00FB0882"/>
    <w:rsid w:val="00FB1455"/>
    <w:rsid w:val="00FB340F"/>
    <w:rsid w:val="00FB4988"/>
    <w:rsid w:val="00FB6909"/>
    <w:rsid w:val="00FB6AB9"/>
    <w:rsid w:val="00FC0090"/>
    <w:rsid w:val="00FC3024"/>
    <w:rsid w:val="00FD7E5B"/>
    <w:rsid w:val="00FE0A04"/>
    <w:rsid w:val="00FE1518"/>
    <w:rsid w:val="00FF08E5"/>
    <w:rsid w:val="00FF1018"/>
    <w:rsid w:val="00FF3BEA"/>
    <w:rsid w:val="00FF612E"/>
    <w:rsid w:val="00FF6CF9"/>
    <w:rsid w:val="013105FA"/>
    <w:rsid w:val="01B9A881"/>
    <w:rsid w:val="01DF0728"/>
    <w:rsid w:val="026C0A68"/>
    <w:rsid w:val="034EE4DE"/>
    <w:rsid w:val="03A50282"/>
    <w:rsid w:val="03E45A01"/>
    <w:rsid w:val="03EE72DE"/>
    <w:rsid w:val="03F8000E"/>
    <w:rsid w:val="03FF407A"/>
    <w:rsid w:val="046F2CD7"/>
    <w:rsid w:val="048E7CAB"/>
    <w:rsid w:val="04E4F5B0"/>
    <w:rsid w:val="0505D193"/>
    <w:rsid w:val="052F027A"/>
    <w:rsid w:val="0659B3CB"/>
    <w:rsid w:val="072F9A4A"/>
    <w:rsid w:val="0762BFB4"/>
    <w:rsid w:val="07B0EF4F"/>
    <w:rsid w:val="07CC1464"/>
    <w:rsid w:val="08041F4B"/>
    <w:rsid w:val="0826EDDC"/>
    <w:rsid w:val="082D4A88"/>
    <w:rsid w:val="083F80A5"/>
    <w:rsid w:val="0856F1FB"/>
    <w:rsid w:val="089A3A63"/>
    <w:rsid w:val="089D11B2"/>
    <w:rsid w:val="08C790F5"/>
    <w:rsid w:val="08DC48D3"/>
    <w:rsid w:val="08F6C0BD"/>
    <w:rsid w:val="09730D1A"/>
    <w:rsid w:val="0A1619E9"/>
    <w:rsid w:val="0A5047C2"/>
    <w:rsid w:val="0A8A7143"/>
    <w:rsid w:val="0B277042"/>
    <w:rsid w:val="0B662B92"/>
    <w:rsid w:val="0BA8835A"/>
    <w:rsid w:val="0C838CE2"/>
    <w:rsid w:val="0C940121"/>
    <w:rsid w:val="0CF20FD0"/>
    <w:rsid w:val="0D0D0DB7"/>
    <w:rsid w:val="0E94B841"/>
    <w:rsid w:val="0EB49361"/>
    <w:rsid w:val="0ECAA199"/>
    <w:rsid w:val="0F1547EE"/>
    <w:rsid w:val="0F6EF571"/>
    <w:rsid w:val="0FAFDDCF"/>
    <w:rsid w:val="0FC225BC"/>
    <w:rsid w:val="0FDCFC2A"/>
    <w:rsid w:val="107A8EE6"/>
    <w:rsid w:val="10D4183E"/>
    <w:rsid w:val="10D527A9"/>
    <w:rsid w:val="10E15D8E"/>
    <w:rsid w:val="10F56757"/>
    <w:rsid w:val="11146F61"/>
    <w:rsid w:val="11B6BEAE"/>
    <w:rsid w:val="11F2B80B"/>
    <w:rsid w:val="12AE474B"/>
    <w:rsid w:val="136E2940"/>
    <w:rsid w:val="1436C7D5"/>
    <w:rsid w:val="14C5F9C8"/>
    <w:rsid w:val="1548627E"/>
    <w:rsid w:val="157BFBB2"/>
    <w:rsid w:val="158FF966"/>
    <w:rsid w:val="15F58415"/>
    <w:rsid w:val="167FB299"/>
    <w:rsid w:val="1778B5F5"/>
    <w:rsid w:val="17E788D5"/>
    <w:rsid w:val="17F1C3A0"/>
    <w:rsid w:val="1832F63E"/>
    <w:rsid w:val="192264DB"/>
    <w:rsid w:val="196E900C"/>
    <w:rsid w:val="19BB397B"/>
    <w:rsid w:val="1AF4415D"/>
    <w:rsid w:val="1AF97839"/>
    <w:rsid w:val="1B0B211D"/>
    <w:rsid w:val="1B557D39"/>
    <w:rsid w:val="1B9E5F72"/>
    <w:rsid w:val="1BA9A14D"/>
    <w:rsid w:val="1BD264AE"/>
    <w:rsid w:val="1BF42727"/>
    <w:rsid w:val="1C146F2C"/>
    <w:rsid w:val="1C37E46C"/>
    <w:rsid w:val="1D349099"/>
    <w:rsid w:val="1D99F8AC"/>
    <w:rsid w:val="1DC6EC39"/>
    <w:rsid w:val="1DFF165D"/>
    <w:rsid w:val="1E9B6D90"/>
    <w:rsid w:val="1F18B00D"/>
    <w:rsid w:val="1F3B90A1"/>
    <w:rsid w:val="1FE593D0"/>
    <w:rsid w:val="2056D03E"/>
    <w:rsid w:val="20CF29F4"/>
    <w:rsid w:val="20D5693E"/>
    <w:rsid w:val="21FC589A"/>
    <w:rsid w:val="22E98AE3"/>
    <w:rsid w:val="2381EA9D"/>
    <w:rsid w:val="239B3CFE"/>
    <w:rsid w:val="23D2B7C7"/>
    <w:rsid w:val="23F5AE27"/>
    <w:rsid w:val="242B08FB"/>
    <w:rsid w:val="2432AE8B"/>
    <w:rsid w:val="24A3CD24"/>
    <w:rsid w:val="24D681FD"/>
    <w:rsid w:val="24E4387F"/>
    <w:rsid w:val="25099DBF"/>
    <w:rsid w:val="26160116"/>
    <w:rsid w:val="26403CAE"/>
    <w:rsid w:val="26634714"/>
    <w:rsid w:val="26B0060E"/>
    <w:rsid w:val="27C822A7"/>
    <w:rsid w:val="2970CED2"/>
    <w:rsid w:val="2984888E"/>
    <w:rsid w:val="2A3DEF04"/>
    <w:rsid w:val="2A50DE69"/>
    <w:rsid w:val="2BF714A1"/>
    <w:rsid w:val="2C646C57"/>
    <w:rsid w:val="2C7A136E"/>
    <w:rsid w:val="2C97CCA4"/>
    <w:rsid w:val="2D4DF565"/>
    <w:rsid w:val="2E2D903D"/>
    <w:rsid w:val="2E4FEA5E"/>
    <w:rsid w:val="2E8E90B8"/>
    <w:rsid w:val="2EAC9019"/>
    <w:rsid w:val="2EC7F025"/>
    <w:rsid w:val="2ECAA40C"/>
    <w:rsid w:val="2ED14590"/>
    <w:rsid w:val="2F1F5F74"/>
    <w:rsid w:val="2FBD4ABB"/>
    <w:rsid w:val="2FEC4F56"/>
    <w:rsid w:val="304223CD"/>
    <w:rsid w:val="30E9ADCD"/>
    <w:rsid w:val="31289E6B"/>
    <w:rsid w:val="330FEFE7"/>
    <w:rsid w:val="334244BD"/>
    <w:rsid w:val="337BD247"/>
    <w:rsid w:val="33852732"/>
    <w:rsid w:val="338A6B74"/>
    <w:rsid w:val="3415FA40"/>
    <w:rsid w:val="344235F5"/>
    <w:rsid w:val="349C81B2"/>
    <w:rsid w:val="34B68B14"/>
    <w:rsid w:val="34BD9B1C"/>
    <w:rsid w:val="34FA3A95"/>
    <w:rsid w:val="353BA010"/>
    <w:rsid w:val="3585BE2B"/>
    <w:rsid w:val="35D43E57"/>
    <w:rsid w:val="36EE3B29"/>
    <w:rsid w:val="38A6726F"/>
    <w:rsid w:val="38C9614E"/>
    <w:rsid w:val="38D12AC4"/>
    <w:rsid w:val="39394572"/>
    <w:rsid w:val="39BE236E"/>
    <w:rsid w:val="3A2236BD"/>
    <w:rsid w:val="3C353653"/>
    <w:rsid w:val="3CAF403D"/>
    <w:rsid w:val="3CB8A5D6"/>
    <w:rsid w:val="3D4C2A15"/>
    <w:rsid w:val="3D5A6F5C"/>
    <w:rsid w:val="3DC8CA02"/>
    <w:rsid w:val="3E8DA022"/>
    <w:rsid w:val="3F1BE58E"/>
    <w:rsid w:val="3FD3097D"/>
    <w:rsid w:val="40114D3F"/>
    <w:rsid w:val="4075A7C4"/>
    <w:rsid w:val="40E99744"/>
    <w:rsid w:val="41C6C563"/>
    <w:rsid w:val="41D845CC"/>
    <w:rsid w:val="426917EF"/>
    <w:rsid w:val="42A95EDF"/>
    <w:rsid w:val="4453C721"/>
    <w:rsid w:val="445718FD"/>
    <w:rsid w:val="4475D71F"/>
    <w:rsid w:val="44B543E6"/>
    <w:rsid w:val="44C2E15D"/>
    <w:rsid w:val="44DB22A7"/>
    <w:rsid w:val="4532E529"/>
    <w:rsid w:val="45554B9A"/>
    <w:rsid w:val="4572CD77"/>
    <w:rsid w:val="458B2FB2"/>
    <w:rsid w:val="45A0E870"/>
    <w:rsid w:val="45EDC9EB"/>
    <w:rsid w:val="461BC0D7"/>
    <w:rsid w:val="468E6172"/>
    <w:rsid w:val="4697B02C"/>
    <w:rsid w:val="48BA143E"/>
    <w:rsid w:val="49BCE79E"/>
    <w:rsid w:val="4AC57A9F"/>
    <w:rsid w:val="4B292FCF"/>
    <w:rsid w:val="4B3FBE76"/>
    <w:rsid w:val="4B9D61BB"/>
    <w:rsid w:val="4BDFA27A"/>
    <w:rsid w:val="4C083D8D"/>
    <w:rsid w:val="4C14DAD9"/>
    <w:rsid w:val="4C255103"/>
    <w:rsid w:val="4C5D8771"/>
    <w:rsid w:val="4CC63D5F"/>
    <w:rsid w:val="4D5818EC"/>
    <w:rsid w:val="4E2363A8"/>
    <w:rsid w:val="4EF244D9"/>
    <w:rsid w:val="4F1182E8"/>
    <w:rsid w:val="4F4DFF37"/>
    <w:rsid w:val="4F60AB92"/>
    <w:rsid w:val="4FE0F0F5"/>
    <w:rsid w:val="51927541"/>
    <w:rsid w:val="527574C3"/>
    <w:rsid w:val="5286E66C"/>
    <w:rsid w:val="5297F230"/>
    <w:rsid w:val="529BCFF1"/>
    <w:rsid w:val="52A0D200"/>
    <w:rsid w:val="530043A5"/>
    <w:rsid w:val="5352E5D4"/>
    <w:rsid w:val="53845B13"/>
    <w:rsid w:val="53986D45"/>
    <w:rsid w:val="548C9F7A"/>
    <w:rsid w:val="54FF8B5E"/>
    <w:rsid w:val="5513C3B3"/>
    <w:rsid w:val="557F750E"/>
    <w:rsid w:val="55DCB5C2"/>
    <w:rsid w:val="566EE38E"/>
    <w:rsid w:val="56D6F068"/>
    <w:rsid w:val="56F0A070"/>
    <w:rsid w:val="5784DE29"/>
    <w:rsid w:val="57E45E1E"/>
    <w:rsid w:val="57E5F4EB"/>
    <w:rsid w:val="57E766BD"/>
    <w:rsid w:val="589135D6"/>
    <w:rsid w:val="58F137F2"/>
    <w:rsid w:val="59424AD3"/>
    <w:rsid w:val="59BCE478"/>
    <w:rsid w:val="59E38DA8"/>
    <w:rsid w:val="5A4DC59E"/>
    <w:rsid w:val="5AE96ABC"/>
    <w:rsid w:val="5B0A4FE5"/>
    <w:rsid w:val="5B24A025"/>
    <w:rsid w:val="5B6BE867"/>
    <w:rsid w:val="5BD26C3A"/>
    <w:rsid w:val="5BD85030"/>
    <w:rsid w:val="5BD8F3EA"/>
    <w:rsid w:val="5C3E20E1"/>
    <w:rsid w:val="5CCA4A91"/>
    <w:rsid w:val="5E4F61AD"/>
    <w:rsid w:val="5E8878C1"/>
    <w:rsid w:val="5E973C9D"/>
    <w:rsid w:val="5F4D348D"/>
    <w:rsid w:val="5F5934D4"/>
    <w:rsid w:val="5F6E1AF1"/>
    <w:rsid w:val="5F85FA96"/>
    <w:rsid w:val="5F9AC448"/>
    <w:rsid w:val="5FAB601C"/>
    <w:rsid w:val="5FCD0664"/>
    <w:rsid w:val="60280366"/>
    <w:rsid w:val="606C626E"/>
    <w:rsid w:val="60B08600"/>
    <w:rsid w:val="60FB6B0C"/>
    <w:rsid w:val="60FB70F3"/>
    <w:rsid w:val="617ECCE9"/>
    <w:rsid w:val="6185751A"/>
    <w:rsid w:val="61ACF359"/>
    <w:rsid w:val="61CF8F0A"/>
    <w:rsid w:val="61F5B6E8"/>
    <w:rsid w:val="62586F39"/>
    <w:rsid w:val="63A8E1ED"/>
    <w:rsid w:val="64552C1B"/>
    <w:rsid w:val="64C89AC1"/>
    <w:rsid w:val="653B8256"/>
    <w:rsid w:val="6608B220"/>
    <w:rsid w:val="661AE90B"/>
    <w:rsid w:val="664DEF74"/>
    <w:rsid w:val="668DAB5B"/>
    <w:rsid w:val="673E24BB"/>
    <w:rsid w:val="682ADA0B"/>
    <w:rsid w:val="683935F3"/>
    <w:rsid w:val="68CBBC81"/>
    <w:rsid w:val="6910D789"/>
    <w:rsid w:val="691711F7"/>
    <w:rsid w:val="6944525C"/>
    <w:rsid w:val="6982F57B"/>
    <w:rsid w:val="69963F9A"/>
    <w:rsid w:val="69D3B681"/>
    <w:rsid w:val="6A3586DB"/>
    <w:rsid w:val="6A72156E"/>
    <w:rsid w:val="6A777579"/>
    <w:rsid w:val="6BD1DE9C"/>
    <w:rsid w:val="6BDF428E"/>
    <w:rsid w:val="6C225A62"/>
    <w:rsid w:val="6C4376FF"/>
    <w:rsid w:val="6C748D65"/>
    <w:rsid w:val="6C76A596"/>
    <w:rsid w:val="6C8CC43A"/>
    <w:rsid w:val="6CBFCB70"/>
    <w:rsid w:val="6D24A2B5"/>
    <w:rsid w:val="6DD98DA8"/>
    <w:rsid w:val="6DE8ACC6"/>
    <w:rsid w:val="6E0C5AD2"/>
    <w:rsid w:val="6F2A7C38"/>
    <w:rsid w:val="6F9A0740"/>
    <w:rsid w:val="6FCB7475"/>
    <w:rsid w:val="702A4AD9"/>
    <w:rsid w:val="7036670B"/>
    <w:rsid w:val="70D0923E"/>
    <w:rsid w:val="7110A10F"/>
    <w:rsid w:val="71299036"/>
    <w:rsid w:val="718620F9"/>
    <w:rsid w:val="71C8350C"/>
    <w:rsid w:val="71D15A6D"/>
    <w:rsid w:val="72623E1B"/>
    <w:rsid w:val="728AF45D"/>
    <w:rsid w:val="72F82841"/>
    <w:rsid w:val="73645D7C"/>
    <w:rsid w:val="73AF4ABC"/>
    <w:rsid w:val="74159C38"/>
    <w:rsid w:val="742A820E"/>
    <w:rsid w:val="74589A08"/>
    <w:rsid w:val="745BCCB7"/>
    <w:rsid w:val="74C670E3"/>
    <w:rsid w:val="75348F0C"/>
    <w:rsid w:val="758D0B76"/>
    <w:rsid w:val="75C3B3BE"/>
    <w:rsid w:val="76BEB929"/>
    <w:rsid w:val="773FB123"/>
    <w:rsid w:val="77756E93"/>
    <w:rsid w:val="779D348C"/>
    <w:rsid w:val="77A4C5F4"/>
    <w:rsid w:val="77F0FDD0"/>
    <w:rsid w:val="78A3F9D8"/>
    <w:rsid w:val="78A85A70"/>
    <w:rsid w:val="79820FBB"/>
    <w:rsid w:val="79D503B2"/>
    <w:rsid w:val="7AED84BC"/>
    <w:rsid w:val="7B02DA57"/>
    <w:rsid w:val="7B429E30"/>
    <w:rsid w:val="7BF4055B"/>
    <w:rsid w:val="7CC91DD4"/>
    <w:rsid w:val="7CEDDABB"/>
    <w:rsid w:val="7CFF424C"/>
    <w:rsid w:val="7D38F6A2"/>
    <w:rsid w:val="7E1ED089"/>
    <w:rsid w:val="7E689B5F"/>
    <w:rsid w:val="7E948925"/>
    <w:rsid w:val="7EDA1FFD"/>
    <w:rsid w:val="7EFEB9C7"/>
    <w:rsid w:val="7F356DAB"/>
    <w:rsid w:val="7FF67C71"/>
    <w:rsid w:val="7FFCDB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5E549"/>
  <w15:chartTrackingRefBased/>
  <w15:docId w15:val="{FDEEC6A8-A96A-4575-9484-12CEFA3A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95"/>
    <w:rPr>
      <w:lang w:val="en-GB"/>
    </w:rPr>
  </w:style>
  <w:style w:type="paragraph" w:styleId="Heading1">
    <w:name w:val="heading 1"/>
    <w:basedOn w:val="Normal"/>
    <w:next w:val="Normal"/>
    <w:link w:val="Heading1Char"/>
    <w:uiPriority w:val="9"/>
    <w:qFormat/>
    <w:rsid w:val="00DD1AC4"/>
    <w:pPr>
      <w:jc w:val="center"/>
      <w:outlineLvl w:val="0"/>
    </w:pPr>
    <w:rPr>
      <w:rFonts w:ascii="Inter" w:hAnsi="Inter" w:cs="Calibri"/>
      <w:b/>
      <w:bCs/>
    </w:rPr>
  </w:style>
  <w:style w:type="paragraph" w:styleId="Heading2">
    <w:name w:val="heading 2"/>
    <w:basedOn w:val="Normal"/>
    <w:next w:val="Normal"/>
    <w:link w:val="Heading2Char"/>
    <w:uiPriority w:val="9"/>
    <w:unhideWhenUsed/>
    <w:qFormat/>
    <w:rsid w:val="00524998"/>
    <w:pPr>
      <w:spacing w:before="240"/>
      <w:jc w:val="both"/>
      <w:outlineLvl w:val="1"/>
    </w:pPr>
    <w:rPr>
      <w:rFonts w:ascii="Inter" w:hAnsi="Inter" w:cs="Calibri"/>
      <w:b/>
      <w:bCs/>
    </w:rPr>
  </w:style>
  <w:style w:type="paragraph" w:styleId="Heading3">
    <w:name w:val="heading 3"/>
    <w:basedOn w:val="ListParagraph"/>
    <w:next w:val="Normal"/>
    <w:link w:val="Heading3Char"/>
    <w:uiPriority w:val="9"/>
    <w:unhideWhenUsed/>
    <w:qFormat/>
    <w:rsid w:val="00524998"/>
    <w:pPr>
      <w:numPr>
        <w:numId w:val="17"/>
      </w:numPr>
      <w:spacing w:before="240"/>
      <w:jc w:val="both"/>
      <w:outlineLvl w:val="2"/>
    </w:pPr>
    <w:rPr>
      <w:rFonts w:ascii="Inter" w:hAnsi="Inter" w:cs="Calibri"/>
      <w:b/>
      <w:bCs/>
    </w:rPr>
  </w:style>
  <w:style w:type="paragraph" w:styleId="Heading4">
    <w:name w:val="heading 4"/>
    <w:basedOn w:val="Normal"/>
    <w:next w:val="Normal"/>
    <w:link w:val="Heading4Char"/>
    <w:uiPriority w:val="9"/>
    <w:unhideWhenUsed/>
    <w:qFormat/>
    <w:rsid w:val="00524998"/>
    <w:pPr>
      <w:spacing w:before="240"/>
      <w:jc w:val="both"/>
      <w:outlineLvl w:val="3"/>
    </w:pPr>
    <w:rPr>
      <w:rFonts w:ascii="Inter" w:hAnsi="Inter" w:cs="Calibri"/>
      <w:b/>
      <w:bCs/>
    </w:rPr>
  </w:style>
  <w:style w:type="paragraph" w:styleId="Heading5">
    <w:name w:val="heading 5"/>
    <w:basedOn w:val="Normal"/>
    <w:next w:val="Normal"/>
    <w:link w:val="Heading5Char"/>
    <w:uiPriority w:val="9"/>
    <w:semiHidden/>
    <w:unhideWhenUsed/>
    <w:qFormat/>
    <w:rsid w:val="00247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C4"/>
    <w:rPr>
      <w:rFonts w:ascii="Inter" w:hAnsi="Inter" w:cs="Calibri"/>
      <w:b/>
      <w:bCs/>
      <w:lang w:val="en-GB"/>
    </w:rPr>
  </w:style>
  <w:style w:type="character" w:customStyle="1" w:styleId="Heading2Char">
    <w:name w:val="Heading 2 Char"/>
    <w:basedOn w:val="DefaultParagraphFont"/>
    <w:link w:val="Heading2"/>
    <w:uiPriority w:val="9"/>
    <w:rsid w:val="00524998"/>
    <w:rPr>
      <w:rFonts w:ascii="Inter" w:hAnsi="Inter" w:cs="Calibri"/>
      <w:b/>
      <w:bCs/>
      <w:lang w:val="en-GB"/>
    </w:rPr>
  </w:style>
  <w:style w:type="character" w:customStyle="1" w:styleId="Heading3Char">
    <w:name w:val="Heading 3 Char"/>
    <w:basedOn w:val="DefaultParagraphFont"/>
    <w:link w:val="Heading3"/>
    <w:uiPriority w:val="9"/>
    <w:rsid w:val="00524998"/>
    <w:rPr>
      <w:rFonts w:ascii="Inter" w:hAnsi="Inter" w:cs="Calibri"/>
      <w:b/>
      <w:bCs/>
      <w:lang w:val="en-GB"/>
    </w:rPr>
  </w:style>
  <w:style w:type="character" w:customStyle="1" w:styleId="Heading4Char">
    <w:name w:val="Heading 4 Char"/>
    <w:basedOn w:val="DefaultParagraphFont"/>
    <w:link w:val="Heading4"/>
    <w:uiPriority w:val="9"/>
    <w:rsid w:val="00524998"/>
    <w:rPr>
      <w:rFonts w:ascii="Inter" w:hAnsi="Inter" w:cs="Calibri"/>
      <w:b/>
      <w:bCs/>
      <w:lang w:val="en-GB"/>
    </w:rPr>
  </w:style>
  <w:style w:type="character" w:customStyle="1" w:styleId="Heading5Char">
    <w:name w:val="Heading 5 Char"/>
    <w:basedOn w:val="DefaultParagraphFont"/>
    <w:link w:val="Heading5"/>
    <w:uiPriority w:val="9"/>
    <w:semiHidden/>
    <w:rsid w:val="00247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E95"/>
    <w:rPr>
      <w:rFonts w:eastAsiaTheme="majorEastAsia" w:cstheme="majorBidi"/>
      <w:color w:val="272727" w:themeColor="text1" w:themeTint="D8"/>
    </w:rPr>
  </w:style>
  <w:style w:type="paragraph" w:styleId="Title">
    <w:name w:val="Title"/>
    <w:basedOn w:val="Normal"/>
    <w:next w:val="Normal"/>
    <w:link w:val="TitleChar"/>
    <w:uiPriority w:val="10"/>
    <w:qFormat/>
    <w:rsid w:val="0024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E95"/>
    <w:pPr>
      <w:spacing w:before="160"/>
      <w:jc w:val="center"/>
    </w:pPr>
    <w:rPr>
      <w:i/>
      <w:iCs/>
      <w:color w:val="404040" w:themeColor="text1" w:themeTint="BF"/>
    </w:rPr>
  </w:style>
  <w:style w:type="character" w:customStyle="1" w:styleId="QuoteChar">
    <w:name w:val="Quote Char"/>
    <w:basedOn w:val="DefaultParagraphFont"/>
    <w:link w:val="Quote"/>
    <w:uiPriority w:val="29"/>
    <w:rsid w:val="00247E95"/>
    <w:rPr>
      <w:i/>
      <w:iCs/>
      <w:color w:val="404040" w:themeColor="text1" w:themeTint="BF"/>
    </w:rPr>
  </w:style>
  <w:style w:type="paragraph" w:styleId="ListParagraph">
    <w:name w:val="List Paragraph"/>
    <w:basedOn w:val="Normal"/>
    <w:link w:val="ListParagraphChar"/>
    <w:uiPriority w:val="34"/>
    <w:qFormat/>
    <w:rsid w:val="00247E95"/>
    <w:pPr>
      <w:ind w:left="720"/>
      <w:contextualSpacing/>
    </w:pPr>
  </w:style>
  <w:style w:type="character" w:styleId="IntenseEmphasis">
    <w:name w:val="Intense Emphasis"/>
    <w:basedOn w:val="DefaultParagraphFont"/>
    <w:uiPriority w:val="21"/>
    <w:qFormat/>
    <w:rsid w:val="00247E95"/>
    <w:rPr>
      <w:i/>
      <w:iCs/>
      <w:color w:val="0F4761" w:themeColor="accent1" w:themeShade="BF"/>
    </w:rPr>
  </w:style>
  <w:style w:type="paragraph" w:styleId="IntenseQuote">
    <w:name w:val="Intense Quote"/>
    <w:basedOn w:val="Normal"/>
    <w:next w:val="Normal"/>
    <w:link w:val="IntenseQuoteChar"/>
    <w:uiPriority w:val="30"/>
    <w:qFormat/>
    <w:rsid w:val="00247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E95"/>
    <w:rPr>
      <w:i/>
      <w:iCs/>
      <w:color w:val="0F4761" w:themeColor="accent1" w:themeShade="BF"/>
    </w:rPr>
  </w:style>
  <w:style w:type="character" w:styleId="IntenseReference">
    <w:name w:val="Intense Reference"/>
    <w:basedOn w:val="DefaultParagraphFont"/>
    <w:uiPriority w:val="32"/>
    <w:qFormat/>
    <w:rsid w:val="00247E95"/>
    <w:rPr>
      <w:b/>
      <w:bCs/>
      <w:smallCaps/>
      <w:color w:val="0F4761" w:themeColor="accent1" w:themeShade="BF"/>
      <w:spacing w:val="5"/>
    </w:rPr>
  </w:style>
  <w:style w:type="paragraph" w:customStyle="1" w:styleId="EndNoteBibliography">
    <w:name w:val="EndNote Bibliography"/>
    <w:basedOn w:val="Normal"/>
    <w:link w:val="EndNoteBibliographyChar"/>
    <w:rsid w:val="008572B6"/>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8572B6"/>
    <w:rPr>
      <w:rFonts w:ascii="Aptos" w:hAnsi="Aptos"/>
      <w:noProof/>
    </w:rPr>
  </w:style>
  <w:style w:type="character" w:styleId="Hyperlink">
    <w:name w:val="Hyperlink"/>
    <w:basedOn w:val="DefaultParagraphFont"/>
    <w:uiPriority w:val="99"/>
    <w:unhideWhenUsed/>
    <w:rsid w:val="008572B6"/>
    <w:rPr>
      <w:color w:val="467886" w:themeColor="hyperlink"/>
      <w:u w:val="single"/>
    </w:rPr>
  </w:style>
  <w:style w:type="paragraph" w:customStyle="1" w:styleId="EndNoteBibliographyTitle">
    <w:name w:val="EndNote Bibliography Title"/>
    <w:basedOn w:val="Normal"/>
    <w:link w:val="EndNoteBibliographyTitleChar"/>
    <w:rsid w:val="000D6D7C"/>
    <w:pPr>
      <w:spacing w:after="0"/>
      <w:jc w:val="center"/>
    </w:pPr>
    <w:rPr>
      <w:rFonts w:ascii="Aptos" w:hAnsi="Aptos"/>
      <w:noProof/>
    </w:rPr>
  </w:style>
  <w:style w:type="character" w:customStyle="1" w:styleId="ListParagraphChar">
    <w:name w:val="List Paragraph Char"/>
    <w:basedOn w:val="DefaultParagraphFont"/>
    <w:link w:val="ListParagraph"/>
    <w:uiPriority w:val="34"/>
    <w:rsid w:val="000D6D7C"/>
  </w:style>
  <w:style w:type="character" w:customStyle="1" w:styleId="EndNoteBibliographyTitleChar">
    <w:name w:val="EndNote Bibliography Title Char"/>
    <w:basedOn w:val="ListParagraphChar"/>
    <w:link w:val="EndNoteBibliographyTitle"/>
    <w:rsid w:val="000D6D7C"/>
    <w:rPr>
      <w:rFonts w:ascii="Aptos" w:hAnsi="Aptos"/>
      <w:noProof/>
    </w:rPr>
  </w:style>
  <w:style w:type="character" w:styleId="CommentReference">
    <w:name w:val="annotation reference"/>
    <w:basedOn w:val="DefaultParagraphFont"/>
    <w:uiPriority w:val="99"/>
    <w:semiHidden/>
    <w:unhideWhenUsed/>
    <w:rsid w:val="000C642C"/>
    <w:rPr>
      <w:sz w:val="16"/>
      <w:szCs w:val="16"/>
    </w:rPr>
  </w:style>
  <w:style w:type="paragraph" w:styleId="CommentText">
    <w:name w:val="annotation text"/>
    <w:basedOn w:val="Normal"/>
    <w:link w:val="CommentTextChar"/>
    <w:uiPriority w:val="99"/>
    <w:unhideWhenUsed/>
    <w:rsid w:val="000C642C"/>
    <w:pPr>
      <w:spacing w:line="240" w:lineRule="auto"/>
    </w:pPr>
    <w:rPr>
      <w:sz w:val="20"/>
      <w:szCs w:val="20"/>
    </w:rPr>
  </w:style>
  <w:style w:type="character" w:customStyle="1" w:styleId="CommentTextChar">
    <w:name w:val="Comment Text Char"/>
    <w:basedOn w:val="DefaultParagraphFont"/>
    <w:link w:val="CommentText"/>
    <w:uiPriority w:val="99"/>
    <w:rsid w:val="000C642C"/>
    <w:rPr>
      <w:sz w:val="20"/>
      <w:szCs w:val="20"/>
      <w:lang w:val="en-GB"/>
    </w:rPr>
  </w:style>
  <w:style w:type="paragraph" w:styleId="CommentSubject">
    <w:name w:val="annotation subject"/>
    <w:basedOn w:val="CommentText"/>
    <w:next w:val="CommentText"/>
    <w:link w:val="CommentSubjectChar"/>
    <w:uiPriority w:val="99"/>
    <w:semiHidden/>
    <w:unhideWhenUsed/>
    <w:rsid w:val="000C642C"/>
    <w:rPr>
      <w:b/>
      <w:bCs/>
    </w:rPr>
  </w:style>
  <w:style w:type="character" w:customStyle="1" w:styleId="CommentSubjectChar">
    <w:name w:val="Comment Subject Char"/>
    <w:basedOn w:val="CommentTextChar"/>
    <w:link w:val="CommentSubject"/>
    <w:uiPriority w:val="99"/>
    <w:semiHidden/>
    <w:rsid w:val="000C642C"/>
    <w:rPr>
      <w:b/>
      <w:bCs/>
      <w:sz w:val="20"/>
      <w:szCs w:val="20"/>
      <w:lang w:val="en-GB"/>
    </w:rPr>
  </w:style>
  <w:style w:type="paragraph" w:styleId="Revision">
    <w:name w:val="Revision"/>
    <w:hidden/>
    <w:uiPriority w:val="99"/>
    <w:semiHidden/>
    <w:rsid w:val="00091C6B"/>
    <w:pPr>
      <w:spacing w:after="0" w:line="240" w:lineRule="auto"/>
    </w:pPr>
    <w:rPr>
      <w:lang w:val="en-GB"/>
    </w:rPr>
  </w:style>
  <w:style w:type="paragraph" w:styleId="FootnoteText">
    <w:name w:val="footnote text"/>
    <w:basedOn w:val="Normal"/>
    <w:link w:val="FootnoteTextChar"/>
    <w:uiPriority w:val="99"/>
    <w:semiHidden/>
    <w:unhideWhenUsed/>
    <w:rsid w:val="004450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064"/>
    <w:rPr>
      <w:sz w:val="20"/>
      <w:szCs w:val="20"/>
      <w:lang w:val="en-GB"/>
    </w:rPr>
  </w:style>
  <w:style w:type="character" w:styleId="FootnoteReference">
    <w:name w:val="footnote reference"/>
    <w:basedOn w:val="DefaultParagraphFont"/>
    <w:uiPriority w:val="99"/>
    <w:semiHidden/>
    <w:unhideWhenUsed/>
    <w:rsid w:val="00445064"/>
    <w:rPr>
      <w:vertAlign w:val="superscript"/>
    </w:rPr>
  </w:style>
  <w:style w:type="character" w:styleId="UnresolvedMention">
    <w:name w:val="Unresolved Mention"/>
    <w:basedOn w:val="DefaultParagraphFont"/>
    <w:uiPriority w:val="99"/>
    <w:semiHidden/>
    <w:unhideWhenUsed/>
    <w:rsid w:val="00445064"/>
    <w:rPr>
      <w:color w:val="605E5C"/>
      <w:shd w:val="clear" w:color="auto" w:fill="E1DFDD"/>
    </w:rPr>
  </w:style>
  <w:style w:type="character" w:styleId="FollowedHyperlink">
    <w:name w:val="FollowedHyperlink"/>
    <w:basedOn w:val="DefaultParagraphFont"/>
    <w:uiPriority w:val="99"/>
    <w:semiHidden/>
    <w:unhideWhenUsed/>
    <w:rsid w:val="009D4483"/>
    <w:rPr>
      <w:color w:val="96607D" w:themeColor="followedHyperlink"/>
      <w:u w:val="single"/>
    </w:rPr>
  </w:style>
  <w:style w:type="table" w:styleId="TableGrid">
    <w:name w:val="Table Grid"/>
    <w:basedOn w:val="TableNormal"/>
    <w:uiPriority w:val="39"/>
    <w:rsid w:val="00457DE2"/>
    <w:pPr>
      <w:spacing w:after="0" w:line="240" w:lineRule="auto"/>
    </w:pPr>
    <w:tblPr/>
  </w:style>
  <w:style w:type="paragraph" w:styleId="Header">
    <w:name w:val="header"/>
    <w:basedOn w:val="Normal"/>
    <w:link w:val="HeaderChar"/>
    <w:uiPriority w:val="99"/>
    <w:unhideWhenUsed/>
    <w:rsid w:val="00313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1E6"/>
    <w:rPr>
      <w:lang w:val="en-GB"/>
    </w:rPr>
  </w:style>
  <w:style w:type="paragraph" w:styleId="Footer">
    <w:name w:val="footer"/>
    <w:basedOn w:val="Normal"/>
    <w:link w:val="FooterChar"/>
    <w:uiPriority w:val="99"/>
    <w:unhideWhenUsed/>
    <w:rsid w:val="00313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1E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9072">
      <w:bodyDiv w:val="1"/>
      <w:marLeft w:val="0"/>
      <w:marRight w:val="0"/>
      <w:marTop w:val="0"/>
      <w:marBottom w:val="0"/>
      <w:divBdr>
        <w:top w:val="none" w:sz="0" w:space="0" w:color="auto"/>
        <w:left w:val="none" w:sz="0" w:space="0" w:color="auto"/>
        <w:bottom w:val="none" w:sz="0" w:space="0" w:color="auto"/>
        <w:right w:val="none" w:sz="0" w:space="0" w:color="auto"/>
      </w:divBdr>
    </w:div>
    <w:div w:id="1756241378">
      <w:bodyDiv w:val="1"/>
      <w:marLeft w:val="0"/>
      <w:marRight w:val="0"/>
      <w:marTop w:val="0"/>
      <w:marBottom w:val="0"/>
      <w:divBdr>
        <w:top w:val="none" w:sz="0" w:space="0" w:color="auto"/>
        <w:left w:val="none" w:sz="0" w:space="0" w:color="auto"/>
        <w:bottom w:val="none" w:sz="0" w:space="0" w:color="auto"/>
        <w:right w:val="none" w:sz="0" w:space="0" w:color="auto"/>
      </w:divBdr>
    </w:div>
    <w:div w:id="20040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doctoral-college/events-and-community/pgr-networks-and-clubs/" TargetMode="External"/><Relationship Id="rId18" Type="http://schemas.openxmlformats.org/officeDocument/2006/relationships/hyperlink" Target="https://www.bristol.ac.uk/doctoral-college/current-research-students/new-students/new-pgr-guidance/" TargetMode="External"/><Relationship Id="rId3" Type="http://schemas.openxmlformats.org/officeDocument/2006/relationships/customXml" Target="../customXml/item3.xml"/><Relationship Id="rId21" Type="http://schemas.openxmlformats.org/officeDocument/2006/relationships/hyperlink" Target="https://www.bristol.ac.uk/students/support/it/software-and-online-resources/" TargetMode="External"/><Relationship Id="rId7" Type="http://schemas.openxmlformats.org/officeDocument/2006/relationships/settings" Target="settings.xml"/><Relationship Id="rId12" Type="http://schemas.openxmlformats.org/officeDocument/2006/relationships/hyperlink" Target="https://www.bristol.ac.uk/doctoral-college/events/" TargetMode="External"/><Relationship Id="rId17" Type="http://schemas.openxmlformats.org/officeDocument/2006/relationships/hyperlink" Target="https://uob.sharepoint.com/:p:/r/teams/doctoral-college/_layouts/15/Doc.aspx?sourcedoc=%7B9B89F0D7-CB11-4B73-A026-63622E755893%7D&amp;file=PGR%20Governance%20Overview%20October%202022.pptx&amp;action=edit&amp;mobileredirect=true&amp;DefaultItemOpen=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ristol.ac.uk/students/new/get-ready-to-stu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doctoral-college/guidance/postgraduate-research-supervision/key-tools-for-the-supervisory-relationsh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ob.sharepoint.com/:p:/r/teams/doctoral-college/_layouts/15/Doc.aspx?sourcedoc=%7B9B89F0D7-CB11-4B73-A026-63622E755893%7D&amp;file=PGR%20Governance%20Overview%20October%202022.pptx&amp;action=edit&amp;mobileredirect=true&amp;DefaultItemOpen=1" TargetMode="External"/><Relationship Id="rId23" Type="http://schemas.openxmlformats.org/officeDocument/2006/relationships/hyperlink" Target="https://www.open.edu/openlearn/jumpstart-university" TargetMode="External"/><Relationship Id="rId10" Type="http://schemas.openxmlformats.org/officeDocument/2006/relationships/endnotes" Target="endnotes.xml"/><Relationship Id="rId19" Type="http://schemas.openxmlformats.org/officeDocument/2006/relationships/hyperlink" Target="https://www.bristol.ac.uk/doctoral-college/guidance/postgraduate-research-supervision/key-tools-for-the-supervisory-relation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doctoral-college/current-research-students/pgr-hub/" TargetMode="External"/><Relationship Id="rId22" Type="http://schemas.openxmlformats.org/officeDocument/2006/relationships/hyperlink" Target="https://help.blackboard.com/Learn/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15ae98-9773-44a3-b498-c0b30f3947dc">
      <Terms xmlns="http://schemas.microsoft.com/office/infopath/2007/PartnerControls"/>
    </lcf76f155ced4ddcb4097134ff3c332f>
    <TaxCatchAll xmlns="edb9d0e4-5370-4cfb-9e4e-bdf6de379f60" xsi:nil="true"/>
    <Date xmlns="7515ae98-9773-44a3-b498-c0b30f3947dc" xsi:nil="true"/>
    <_Flow_SignoffStatus xmlns="7515ae98-9773-44a3-b498-c0b30f3947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379ED9A41AF45BC6B37691AD8DE8F" ma:contentTypeVersion="22" ma:contentTypeDescription="Create a new document." ma:contentTypeScope="" ma:versionID="e40c745ae73d902453e6af2cbc2d4281">
  <xsd:schema xmlns:xsd="http://www.w3.org/2001/XMLSchema" xmlns:xs="http://www.w3.org/2001/XMLSchema" xmlns:p="http://schemas.microsoft.com/office/2006/metadata/properties" xmlns:ns2="7515ae98-9773-44a3-b498-c0b30f3947dc" xmlns:ns3="6a98c16d-5a50-4cd6-944a-21e17e1dee95" xmlns:ns4="edb9d0e4-5370-4cfb-9e4e-bdf6de379f60" targetNamespace="http://schemas.microsoft.com/office/2006/metadata/properties" ma:root="true" ma:fieldsID="6c741d8e280cd40907dfcf2f53132f08" ns2:_="" ns3:_="" ns4:_="">
    <xsd:import namespace="7515ae98-9773-44a3-b498-c0b30f3947dc"/>
    <xsd:import namespace="6a98c16d-5a50-4cd6-944a-21e17e1dee95"/>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ae98-9773-44a3-b498-c0b30f3947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description="ready for approval" ma:format="Dropdown" ma:internalName="Sign_x002d_off_x0020_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8c16d-5a50-4cd6-944a-21e17e1dee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5f50829-9398-442e-bf8f-77a41b4ab2b3}" ma:internalName="TaxCatchAll" ma:showField="CatchAllData" ma:web="6a98c16d-5a50-4cd6-944a-21e17e1de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430B8-E399-4413-AFF4-DB6BFF174649}">
  <ds:schemaRefs>
    <ds:schemaRef ds:uri="http://schemas.microsoft.com/office/infopath/2007/PartnerControls"/>
    <ds:schemaRef ds:uri="http://schemas.microsoft.com/office/2006/metadata/properties"/>
    <ds:schemaRef ds:uri="http://purl.org/dc/elements/1.1/"/>
    <ds:schemaRef ds:uri="http://purl.org/dc/dcmitype/"/>
    <ds:schemaRef ds:uri="6a98c16d-5a50-4cd6-944a-21e17e1dee95"/>
    <ds:schemaRef ds:uri="edb9d0e4-5370-4cfb-9e4e-bdf6de379f60"/>
    <ds:schemaRef ds:uri="http://www.w3.org/XML/1998/namespace"/>
    <ds:schemaRef ds:uri="http://schemas.microsoft.com/office/2006/documentManagement/types"/>
    <ds:schemaRef ds:uri="http://purl.org/dc/terms/"/>
    <ds:schemaRef ds:uri="http://schemas.openxmlformats.org/package/2006/metadata/core-properties"/>
    <ds:schemaRef ds:uri="7515ae98-9773-44a3-b498-c0b30f3947dc"/>
  </ds:schemaRefs>
</ds:datastoreItem>
</file>

<file path=customXml/itemProps2.xml><?xml version="1.0" encoding="utf-8"?>
<ds:datastoreItem xmlns:ds="http://schemas.openxmlformats.org/officeDocument/2006/customXml" ds:itemID="{5E536263-5ADF-438B-B6F4-4A9C4386BBCC}">
  <ds:schemaRefs>
    <ds:schemaRef ds:uri="http://schemas.openxmlformats.org/officeDocument/2006/bibliography"/>
  </ds:schemaRefs>
</ds:datastoreItem>
</file>

<file path=customXml/itemProps3.xml><?xml version="1.0" encoding="utf-8"?>
<ds:datastoreItem xmlns:ds="http://schemas.openxmlformats.org/officeDocument/2006/customXml" ds:itemID="{E55902D5-78A2-4260-B509-5032CA37D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ae98-9773-44a3-b498-c0b30f3947dc"/>
    <ds:schemaRef ds:uri="6a98c16d-5a50-4cd6-944a-21e17e1dee95"/>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A69DA-5D37-46D9-BF1D-D66367A8A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2552</Words>
  <Characters>14370</Characters>
  <Application>Microsoft Office Word</Application>
  <DocSecurity>0</DocSecurity>
  <Lines>299</Lines>
  <Paragraphs>98</Paragraphs>
  <ScaleCrop>false</ScaleCrop>
  <Company/>
  <LinksUpToDate>false</LinksUpToDate>
  <CharactersWithSpaces>16824</CharactersWithSpaces>
  <SharedDoc>false</SharedDoc>
  <HLinks>
    <vt:vector size="72" baseType="variant">
      <vt:variant>
        <vt:i4>3145764</vt:i4>
      </vt:variant>
      <vt:variant>
        <vt:i4>39</vt:i4>
      </vt:variant>
      <vt:variant>
        <vt:i4>0</vt:i4>
      </vt:variant>
      <vt:variant>
        <vt:i4>5</vt:i4>
      </vt:variant>
      <vt:variant>
        <vt:lpwstr>https://www.open.edu/openlearn/jumpstart-university</vt:lpwstr>
      </vt:variant>
      <vt:variant>
        <vt:lpwstr/>
      </vt:variant>
      <vt:variant>
        <vt:i4>5832716</vt:i4>
      </vt:variant>
      <vt:variant>
        <vt:i4>36</vt:i4>
      </vt:variant>
      <vt:variant>
        <vt:i4>0</vt:i4>
      </vt:variant>
      <vt:variant>
        <vt:i4>5</vt:i4>
      </vt:variant>
      <vt:variant>
        <vt:lpwstr>https://help.blackboard.com/Learn/Student</vt:lpwstr>
      </vt:variant>
      <vt:variant>
        <vt:lpwstr/>
      </vt:variant>
      <vt:variant>
        <vt:i4>655387</vt:i4>
      </vt:variant>
      <vt:variant>
        <vt:i4>33</vt:i4>
      </vt:variant>
      <vt:variant>
        <vt:i4>0</vt:i4>
      </vt:variant>
      <vt:variant>
        <vt:i4>5</vt:i4>
      </vt:variant>
      <vt:variant>
        <vt:lpwstr>https://www.bristol.ac.uk/students/support/it/software-and-online-resources/</vt:lpwstr>
      </vt:variant>
      <vt:variant>
        <vt:lpwstr/>
      </vt:variant>
      <vt:variant>
        <vt:i4>3801201</vt:i4>
      </vt:variant>
      <vt:variant>
        <vt:i4>30</vt:i4>
      </vt:variant>
      <vt:variant>
        <vt:i4>0</vt:i4>
      </vt:variant>
      <vt:variant>
        <vt:i4>5</vt:i4>
      </vt:variant>
      <vt:variant>
        <vt:lpwstr>https://www.bristol.ac.uk/students/new/get-ready-to-study/</vt:lpwstr>
      </vt:variant>
      <vt:variant>
        <vt:lpwstr/>
      </vt:variant>
      <vt:variant>
        <vt:i4>5898304</vt:i4>
      </vt:variant>
      <vt:variant>
        <vt:i4>27</vt:i4>
      </vt:variant>
      <vt:variant>
        <vt:i4>0</vt:i4>
      </vt:variant>
      <vt:variant>
        <vt:i4>5</vt:i4>
      </vt:variant>
      <vt:variant>
        <vt:lpwstr>https://www.bristol.ac.uk/doctoral-college/guidance/postgraduate-research-supervision/key-tools-for-the-supervisory-relationship/</vt:lpwstr>
      </vt:variant>
      <vt:variant>
        <vt:lpwstr/>
      </vt:variant>
      <vt:variant>
        <vt:i4>2162732</vt:i4>
      </vt:variant>
      <vt:variant>
        <vt:i4>24</vt:i4>
      </vt:variant>
      <vt:variant>
        <vt:i4>0</vt:i4>
      </vt:variant>
      <vt:variant>
        <vt:i4>5</vt:i4>
      </vt:variant>
      <vt:variant>
        <vt:lpwstr>https://www.bristol.ac.uk/doctoral-college/current-research-students/new-students/new-pgr-guidance/</vt:lpwstr>
      </vt:variant>
      <vt:variant>
        <vt:lpwstr/>
      </vt:variant>
      <vt:variant>
        <vt:i4>2359304</vt:i4>
      </vt:variant>
      <vt:variant>
        <vt:i4>21</vt:i4>
      </vt:variant>
      <vt:variant>
        <vt:i4>0</vt:i4>
      </vt:variant>
      <vt:variant>
        <vt:i4>5</vt:i4>
      </vt:variant>
      <vt:variant>
        <vt:lpwstr>https://uob.sharepoint.com/:p:/r/teams/doctoral-college/_layouts/15/Doc.aspx?sourcedoc=%7B9B89F0D7-CB11-4B73-A026-63622E755893%7D&amp;file=PGR%20Governance%20Overview%20October%202022.pptx&amp;action=edit&amp;mobileredirect=true&amp;DefaultItemOpen=1</vt:lpwstr>
      </vt:variant>
      <vt:variant>
        <vt:lpwstr/>
      </vt:variant>
      <vt:variant>
        <vt:i4>2359304</vt:i4>
      </vt:variant>
      <vt:variant>
        <vt:i4>15</vt:i4>
      </vt:variant>
      <vt:variant>
        <vt:i4>0</vt:i4>
      </vt:variant>
      <vt:variant>
        <vt:i4>5</vt:i4>
      </vt:variant>
      <vt:variant>
        <vt:lpwstr>https://uob.sharepoint.com/:p:/r/teams/doctoral-college/_layouts/15/Doc.aspx?sourcedoc=%7B9B89F0D7-CB11-4B73-A026-63622E755893%7D&amp;file=PGR%20Governance%20Overview%20October%202022.pptx&amp;action=edit&amp;mobileredirect=true&amp;DefaultItemOpen=1</vt:lpwstr>
      </vt:variant>
      <vt:variant>
        <vt:lpwstr/>
      </vt:variant>
      <vt:variant>
        <vt:i4>1048641</vt:i4>
      </vt:variant>
      <vt:variant>
        <vt:i4>12</vt:i4>
      </vt:variant>
      <vt:variant>
        <vt:i4>0</vt:i4>
      </vt:variant>
      <vt:variant>
        <vt:i4>5</vt:i4>
      </vt:variant>
      <vt:variant>
        <vt:lpwstr>https://www.bristol.ac.uk/doctoral-college/current-research-students/pgr-hub/</vt:lpwstr>
      </vt:variant>
      <vt:variant>
        <vt:lpwstr/>
      </vt:variant>
      <vt:variant>
        <vt:i4>3080289</vt:i4>
      </vt:variant>
      <vt:variant>
        <vt:i4>9</vt:i4>
      </vt:variant>
      <vt:variant>
        <vt:i4>0</vt:i4>
      </vt:variant>
      <vt:variant>
        <vt:i4>5</vt:i4>
      </vt:variant>
      <vt:variant>
        <vt:lpwstr>https://www.bristol.ac.uk/doctoral-college/events-and-community/pgr-networks-and-clubs/</vt:lpwstr>
      </vt:variant>
      <vt:variant>
        <vt:lpwstr/>
      </vt:variant>
      <vt:variant>
        <vt:i4>6291571</vt:i4>
      </vt:variant>
      <vt:variant>
        <vt:i4>6</vt:i4>
      </vt:variant>
      <vt:variant>
        <vt:i4>0</vt:i4>
      </vt:variant>
      <vt:variant>
        <vt:i4>5</vt:i4>
      </vt:variant>
      <vt:variant>
        <vt:lpwstr>https://www.bristol.ac.uk/doctoral-college/events/</vt:lpwstr>
      </vt:variant>
      <vt:variant>
        <vt:lpwstr/>
      </vt:variant>
      <vt:variant>
        <vt:i4>5898304</vt:i4>
      </vt:variant>
      <vt:variant>
        <vt:i4>3</vt:i4>
      </vt:variant>
      <vt:variant>
        <vt:i4>0</vt:i4>
      </vt:variant>
      <vt:variant>
        <vt:i4>5</vt:i4>
      </vt:variant>
      <vt:variant>
        <vt:lpwstr>https://www.bristol.ac.uk/doctoral-college/guidance/postgraduate-research-supervision/key-tools-for-the-supervisory-relationship/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Beck</dc:creator>
  <cp:keywords/>
  <dc:description/>
  <cp:lastModifiedBy>Jo Gildersleve</cp:lastModifiedBy>
  <cp:revision>2</cp:revision>
  <dcterms:created xsi:type="dcterms:W3CDTF">2026-01-14T15:24:00Z</dcterms:created>
  <dcterms:modified xsi:type="dcterms:W3CDTF">2026-01-14T15:24:00Z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b4a6eed6-f649-41d6-8e42-4e99d786086e</vt:lpwstr>
  </property>
  <property fmtid="{D5CDD505-2E9C-101B-9397-08002B2CF9AE}" pid="3" name="ContentTypeId">
    <vt:lpwstr>0x01010076C379ED9A41AF45BC6B37691AD8DE8F</vt:lpwstr>
  </property>
  <property fmtid="{D5CDD505-2E9C-101B-9397-08002B2CF9AE}" pid="4" name="MediaServiceImageTags">
    <vt:lpwstr/>
  </property>
</Properties>
</file>